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212 VAG 2016 — Anzuwendende Vorschriften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Für kleine Versicherungsunternehmen gelten die auf Erstversicherungsunternehmen, die keine Sterbekassen oder Pensionskassen sind, anwendbaren Vorschriften dieses Gesetzes, soweit dieses Kapitel keine abweichenden Regelungen enthält.</w:t>
      </w:r>
    </w:p>
    <w:p>
      <w:r>
        <w:t xml:space="preserve">(2) Für kleine Versicherungsunternehmen gelten nicht:</w:t>
      </w:r>
    </w:p>
    <w:p>
      <w:pPr>
        <w:ind w:left="420"/>
      </w:pPr>
      <w:r>
        <w:t xml:space="preserve">1. von den Vorschriften über die Geschäftsorganisation § 23 Absatz 1a bis 1c, § 26 Absatz 3, 4 und 6 bis 8, die §§ 27, 28 Absatz 1 und § 29 Absatz 2 bis 4 sowie die §§ 30 und 31,</w:t>
      </w:r>
    </w:p>
    <w:p>
      <w:pPr>
        <w:ind w:left="420"/>
      </w:pPr>
      <w:r>
        <w:t xml:space="preserve">2. von den Vorschriften über die Abschlussprüfung § 35 Absatz 2 und § 37 Absatz 2,</w:t>
      </w:r>
    </w:p>
    <w:p>
      <w:pPr>
        <w:ind w:left="420"/>
      </w:pPr>
      <w:r>
        <w:t xml:space="preserve">3. die Vorschriften über den Bericht über Solvabilität und Finanzlage, §§ 40 bis 42,</w:t>
      </w:r>
    </w:p>
    <w:p>
      <w:pPr>
        <w:ind w:left="420"/>
      </w:pPr>
      <w:r>
        <w:t xml:space="preserve">3a. von den Vorschriften über den Versicherungsvertrieb § 48 Absatz 2a,</w:t>
      </w:r>
    </w:p>
    <w:p>
      <w:pPr>
        <w:ind w:left="420"/>
      </w:pPr>
      <w:r>
        <w:t xml:space="preserve">4. von den Vorschriften über den Dienstleistungs- und Niederlassungsverkehr die §§ 57 bis 59,</w:t>
      </w:r>
    </w:p>
    <w:p>
      <w:pPr>
        <w:ind w:left="420"/>
      </w:pPr>
      <w:r>
        <w:t xml:space="preserve">5. von den Vorschriften über die finanzielle Ausstattung die §§ 74 bis 124, 125 Absatz 1 Satz 2 und 3 sowie die §§ 131 und 133,</w:t>
      </w:r>
    </w:p>
    <w:p>
      <w:pPr>
        <w:ind w:left="420"/>
      </w:pPr>
      <w:r>
        <w:t xml:space="preserve">6. (weggefallen)</w:t>
      </w:r>
    </w:p>
    <w:p>
      <w:pPr>
        <w:ind w:left="420"/>
      </w:pPr>
      <w:r>
        <w:t xml:space="preserve">7. von den Vorschriften über Aufgaben und allgemeine Vorschriften § 301 und</w:t>
      </w:r>
    </w:p>
    <w:p>
      <w:pPr>
        <w:ind w:left="420"/>
      </w:pPr>
      <w:r>
        <w:t xml:space="preserve">8. von den Übergangs- und Schlussbestimmungen die §§ 340 bis 352.</w:t>
      </w:r>
    </w:p>
    <w:p>
      <w:r>
        <w:t xml:space="preserve">(3) Die folgenden Vorschriften gelten mit der allgemeinen Maßgabe, dass an die Stelle der anrechnungsfähigen Basiseigenmittel die Eigenmittel treten, und mit folgenden besonderen Maßgaben:</w:t>
      </w:r>
    </w:p>
    <w:p>
      <w:pPr>
        <w:ind w:left="420"/>
      </w:pPr>
      <w:r>
        <w:t xml:space="preserve">1. § 9 Absatz 2 Nummer 4 mit der Maßgabe, dass als Bestandteil des Geschäftsplans Angaben über die Eigenmittelbestandteile, die die absolute Grenze der Mindestkapitalanforderung darstellen, einzureichen sind,</w:t>
      </w:r>
    </w:p>
    <w:p>
      <w:pPr>
        <w:ind w:left="420"/>
      </w:pPr>
      <w:r>
        <w:t xml:space="preserve">2. (weggefallen)</w:t>
      </w:r>
    </w:p>
    <w:p>
      <w:pPr>
        <w:ind w:left="420"/>
      </w:pPr>
      <w:r>
        <w:t xml:space="preserve">3. § 9 Absatz 4 Nummer 1 Buchstabe a mit der Maßgabe, dass Angaben über Art und Umfang der Geschäftsorganisation nur zu machen sind für die Geschäftsleiter, die Mitglieder des Aufsichtsrats und, falls vorhanden, für den Verantwortlichen Aktuar,</w:t>
      </w:r>
    </w:p>
    <w:p>
      <w:pPr>
        <w:ind w:left="420"/>
      </w:pPr>
      <w:r>
        <w:t xml:space="preserve">4. § 12 Absatz 1 und 3 mit der Maßgabe, dass die Regelung auf jede Ausdehnung des Geschäftsbetriebs auf ein Gebiet im Ausland anzuwenden ist,</w:t>
      </w:r>
    </w:p>
    <w:p>
      <w:pPr>
        <w:ind w:left="420"/>
      </w:pPr>
      <w:r>
        <w:t xml:space="preserve">5. § 15 Absatz 1 Satz 3 mit der Maßgabe, dass die Aufnahme von Kapital gegen Gewährung von Genussrechten oder gegen Eingehung von nachrangigen Verbindlichkeiten, die mindestens die Anforderungen an die Qualitätsklasse 2 nach § 92 Absatz 2 erfüllen, nicht als Fremdmittelaufnahme gilt,</w:t>
      </w:r>
    </w:p>
    <w:p>
      <w:pPr>
        <w:ind w:left="420"/>
      </w:pPr>
      <w:r>
        <w:t xml:space="preserve">6. § 23 Absatz 3 mit der Maßgabe, dass die Leitlinien keine Vorgaben zur internen Revision enthalten müssen,</w:t>
      </w:r>
    </w:p>
    <w:p>
      <w:pPr>
        <w:ind w:left="420"/>
      </w:pPr>
      <w:r>
        <w:t xml:space="preserve">7. § 24 Absatz 1 Satz 1 mit der Maßgabe, dass sich die Regelung nur auf Geschäftsleiter und Mitglieder des Aufsichtsrats bezieht,</w:t>
      </w:r>
    </w:p>
    <w:p>
      <w:pPr>
        <w:ind w:left="420"/>
      </w:pPr>
      <w:r>
        <w:t xml:space="preserve">8. § 26 Absatz 1 mit der Maßgabe, dass die Risiken, denen das Unternehmen tatsächlich oder möglicherweise ausgesetzt ist, regelmäßig angemessen zu dokumentieren sind,</w:t>
      </w:r>
    </w:p>
    <w:p>
      <w:pPr>
        <w:ind w:left="420"/>
      </w:pPr>
      <w:r>
        <w:t xml:space="preserve">9. § 29 Absatz 1 mit der Maßgabe, dass keine Compliance-Funktion vorzuhalten ist,</w:t>
      </w:r>
    </w:p>
    <w:p>
      <w:pPr>
        <w:ind w:left="420"/>
      </w:pPr>
      <w:r>
        <w:t xml:space="preserve">10. § 47 Nummer 1 und 2 mit der Maßgabe, dass nur die vorgesehene Einsetzung eines Geschäftsleiters oder die Bestellung eines Aufsichtsratsmitglieds und das Ausscheiden oder der Entzug der Befugnis zur Vertretung des Versicherungsunternehmens einer dieser Personen anzuzeigen ist,</w:t>
      </w:r>
    </w:p>
    <w:p>
      <w:pPr>
        <w:ind w:left="420"/>
      </w:pPr>
      <w:r>
        <w:t xml:space="preserve">11. § 141 Absatz 5 mit der Maßgabe, dass an die Stelle der Grundsätze der auf Grund des § 88 Absatz 3 erlassenen Rechtsverordnung die Grundsätze der auf Grund des § 217 Satz 1 Nummer 7 bis 10 erlassenen Rechtsverordnung treten,</w:t>
      </w:r>
    </w:p>
    <w:p>
      <w:pPr>
        <w:ind w:left="420"/>
      </w:pPr>
      <w:r>
        <w:t xml:space="preserve">12. § 303 Absatz 1 und 2 Nummer 1 mit der Maßgabe, dass die Verwarnung, die Abberufung oder die Untersagung nur hinsichtlich eines Geschäftsleiters oder eines Aufsichtsratsmitglieds möglich ist, und</w:t>
      </w:r>
    </w:p>
    <w:p>
      <w:pPr>
        <w:ind w:left="420"/>
      </w:pPr>
      <w:r>
        <w:t xml:space="preserve">13. § 304 Absatz 1 Nummer 2 mit der Maßgabe, dass die Aufsichtsbehörde die Erlaubnis widerrufen kann, wenn es dem Unternehmen nicht gelingt, innerhalb von drei Monaten nach Feststellung der Nichtbedeckung der Mindestkapitalanforderung den genehmigten Finanzierungsplan zu erfüllen, und die Erlaubnis zu widerrufen ist, wenn es dem Unternehmen nicht gelingt, innerhalb von neun Monaten nach Feststellung der Nichtbedeckung der Mindestkapitalanforderung den genehmigten Finanzierungsplan zu erfüllen.</w:t>
      </w:r>
    </w:p>
    <w:p>
      <w:r>
        <w:rPr>
          <w:color w:val="555555"/>
          <w:sz w:val="17"/>
        </w:rPr>
        <w:t xml:space="preserve">Zitiervorschlag: § 212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