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208 VAG 2016 — Rang der Insolvenzforderungen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Die Ansprüche auf Tilgung des Gründungsstocks stehen allen übrigen Insolvenzforderungen nach. Unter den Insolvenzforderungen werden Ansprüche aus einem Versicherungsverhältnis, die den bei Eröffnung des Insolvenzverfahrens dem Verein angehörenden oder im letzten Jahr vor dem Eröffnungsantrag oder nach diesem Antrag ausgeschiedenen Mitgliedern zustehen, im Rang nach den Ansprüchen der anderen Insolvenzgläubiger befriedigt.</w:t>
      </w:r>
    </w:p>
    <w:p>
      <w:r>
        <w:t xml:space="preserve">(2) Zur Tilgung des Gründungsstocks dürfen keine Nachschüsse oder Umlagen erhoben werden.</w:t>
      </w:r>
    </w:p>
    <w:p>
      <w:r>
        <w:rPr>
          <w:color w:val="555555"/>
          <w:sz w:val="17"/>
        </w:rPr>
        <w:t xml:space="preserve">Zitiervorschlag: § 208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https://recht.nulegal.eu/gesetze/VAG%202016/208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