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206 VAG 2016 — Fortsetzung des Vereins</w:t>
      </w:r>
    </w:p>
    <w:p>
      <w:r>
        <w:rPr>
          <w:color w:val="555555"/>
          <w:sz w:val="18"/>
        </w:rPr>
        <w:t xml:space="preserve">Versicherungsaufsichtsgesetz</w:t>
      </w:r>
    </w:p>
    <w:p>
      <w:r>
        <w:rPr>
          <w:color w:val="555555"/>
          <w:sz w:val="18"/>
        </w:rPr>
        <w:t xml:space="preserve">Stand: 10.06.2019 (konsolidierte Textfassung, kein amtliches Inkrafttretensdatum)</w:t>
      </w:r>
    </w:p>
    <w:p>
      <w:r>
        <w:t xml:space="preserve">(1) Ist ein Verein durch Zeitablauf oder durch Beschluss der obersten Vertretung aufgelöst worden, so kann die oberste Vertretung, solange noch nicht mit der Verteilung des Vermögens unter die Anfallberechtigten begonnen worden ist, die Fortsetzung des Vereins beschließen. Der Beschluss bedarf einer Mehrheit von drei Vierteln der abgegebenen Stimmen, wenn die Satzung nichts anderes bestimmt. Er bedarf der Genehmigung der Aufsichtsbehörde; diese hat die Genehmigung dem Registergericht mitzuteilen.</w:t>
      </w:r>
    </w:p>
    <w:p>
      <w:r>
        <w:t xml:space="preserve">(2) Gleiches gilt, wenn der Verein durch die Eröffnung des Insolvenzverfahrens aufgelöst, das Verfahren aber auf Antrag des Vereins eingestellt oder nach der Bestätigung eines Insolvenzplans, der den Fortbestand des Vereins vorsieht, aufgehoben worden ist.</w:t>
      </w:r>
    </w:p>
    <w:p>
      <w:r>
        <w:t xml:space="preserve">(3) Die Abwickler haben die Fortsetzung des Vereins zur Eintragung in das Handelsregister anzumelden; sie haben bei der Anmeldung nachzuweisen, dass noch nicht mit der Verteilung des Vermögens des Vereins unter die Anfallberechtigten begonnen worden ist.</w:t>
      </w:r>
    </w:p>
    <w:p>
      <w:r>
        <w:t xml:space="preserve">(4) Der Fortsetzungsbeschluss hat keine Wirkung, bevor er in das Handelsregister des Sitzes des Vereins eingetragen worden ist.</w:t>
      </w:r>
    </w:p>
    <w:p>
      <w:r>
        <w:rPr>
          <w:color w:val="555555"/>
          <w:sz w:val="17"/>
        </w:rPr>
        <w:t xml:space="preserve">Zitiervorschlag: § 206 VAG 2016</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https://recht.nulegal.eu/gesetze/VAG%202016/206</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