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VAG 2016 — Auflösungsbeschluss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Beschluss nach § 198 Nummer 2 bedarf einer Mehrheit von drei Vierteln der abgegebenen Stimmen, wenn die Satzung nichts anderes bestimmt. Mitglieder der obersten Vertretung, die gegen die Auflösung gestimmt haben, können dem Auflösungsbeschluss zur Niederschrift widersprechen.</w:t>
      </w:r>
    </w:p>
    <w:p>
      <w:r>
        <w:t xml:space="preserve">(2) Der Beschluss bedarf der Genehmigung der Aufsichtsbehörde. Diese hat die Genehmigung dem Registergericht mitzuteilen.</w:t>
      </w:r>
    </w:p>
    <w:p>
      <w:r>
        <w:t xml:space="preserve">(3) Ist der Verein durch einen Beschluss der obersten Vertretung aufgelöst worden, so erlöschen die Versicherungsverhältnisse zwischen den Mitgliedern und dem Verein mit dem Zeitpunkt, den der Beschluss bestimmt, frühestens jedoch mit dem Ablauf von vier Wochen. Versicherungsansprüche, die bis dahin entstanden sind, können geltend gemacht werden; im Übrigen können aber nur die für künftige Versicherungszeitabschnitte im Voraus gezahlten Beiträge nach Abzug der aufgewandten Kosten zurückgefordert werden. Diese Vorschriften gelten nicht für Lebensversicherungsverhältnisse; diese bleiben unberührt, wenn die Satzung nichts anderes bestimmt.</w:t>
      </w:r>
    </w:p>
    <w:p>
      <w:r>
        <w:rPr>
          <w:color w:val="555555"/>
          <w:sz w:val="17"/>
        </w:rPr>
        <w:t xml:space="preserve">Zitiervorschlag: § 199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