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197 VAG 2016 — Änderung der allgemeinen Versicherungsbedingungen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 195 Absatz 1 und 2 gilt vorbehaltlich des Absatzes 2 entsprechend auch für Änderungen der allgemeinen Versicherungsbedingungen.</w:t>
      </w:r>
    </w:p>
    <w:p>
      <w:r>
        <w:t xml:space="preserve">(2) Die Satzung kann den Vorstand ermächtigen, mit Zustimmung des Aufsichtsrats allgemeine Versicherungsbedingungen einzuführen oder zu ändern. Sind Vorstand und Aufsichtsrat nicht durch Satzung zur Änderung von allgemeinen Versicherungsbedingungen ermächtigt, so kann die oberste Vertretung den Aufsichtsrat ermächtigen, bei dringendem Bedarf die allgemeinen Versicherungsbedingungen vorläufig zu ändern; die Änderungen sind der obersten Vertretung bei ihrem nächsten Zusammentritt vorzulegen und außer Kraft zu setzen, wenn diese es verlangt.</w:t>
      </w:r>
    </w:p>
    <w:p>
      <w:r>
        <w:t xml:space="preserve">(3) Eine Änderung der Satzung oder der allgemeinen Versicherungsbedingungen berührt ein bestehendes Versicherungsverhältnis nur, wenn der Versicherte der Änderung ausdrücklich zustimmt. Dies gilt nicht für solche Bestimmungen, für die die Satzung ausdrücklich vorsieht, dass sie auch mit Wirkung für die bestehenden Versicherungsverhältnisse geändert werden können.</w:t>
      </w:r>
    </w:p>
    <w:p>
      <w:r>
        <w:rPr>
          <w:color w:val="555555"/>
          <w:sz w:val="17"/>
        </w:rPr>
        <w:t xml:space="preserve">Zitiervorschlag: § 197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