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VAG 2016 — Eintragung der Satzungsänderung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Satzungsänderung ist zur Eintragung ins Handelsregister anzumelden. Der Anmeldung ist die Genehmigungsurkunde beizufügen. Es ist ferner der vollständige Wortlaut der Satzung beizufügen; er muss mit der Bescheinigung eines Notars versehen sein, dass die geänderten Bestimmungen der Satzung mit dem Beschluss über die Satzungsänderung und die unveränderten Bestimmungen mit dem zuletzt zum Handelsregister eingereichten vollständigen Wortlaut der Satzung übereinstimmen.</w:t>
      </w:r>
    </w:p>
    <w:p>
      <w:r>
        <w:t xml:space="preserve">(2) Bei der Eintragung kann auf die dem Gericht eingereichten Urkunden über die Änderung verwiesen werden, es sei denn, die Änderung betrifft die Angaben nach § 187.</w:t>
      </w:r>
    </w:p>
    <w:p>
      <w:r>
        <w:t xml:space="preserve">(3) Die Änderung wirkt nicht, bevor sie bei dem Gericht, in dessen Bezirk der Verein seinen Sitz hat, ins Handelsregister eingetragen worden ist.</w:t>
      </w:r>
    </w:p>
    <w:p>
      <w:r>
        <w:rPr>
          <w:color w:val="555555"/>
          <w:sz w:val="17"/>
        </w:rPr>
        <w:t xml:space="preserve">Zitiervorschlag: § 196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