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195 VAG 2016 — Änderung der Satzung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Nur die oberste Vertretung kann die Satzung ändern.</w:t>
      </w:r>
    </w:p>
    <w:p>
      <w:r>
        <w:t xml:space="preserve">(2) Die oberste Vertretung kann das Recht zu Änderungen, die nur die Fassung betreffen, dem Aufsichtsrat übertragen.</w:t>
      </w:r>
    </w:p>
    <w:p>
      <w:r>
        <w:t xml:space="preserve">(3) Die oberste Vertretung kann den Aufsichtsrat ermächtigen, für den Fall, dass die Aufsichtsbehörde, bevor sie den Änderungsbeschluss genehmigt, Änderungen verlangt, dem zu entsprechen.</w:t>
      </w:r>
    </w:p>
    <w:p>
      <w:r>
        <w:t xml:space="preserve">(4) Ein Beschluss der obersten Vertretung, wonach ein Versicherungszweig aufgegeben oder ein neuer eingeführt werden soll, bedarf einer Mehrheit von drei Vierteln der abgegebenen Stimmen; die Satzung kann noch anderes fordern. Andere Beschlüsse nach den Absätzen 1 bis 3 bedürfen einer solchen Mehrheit nur, wenn die Satzung nichts anderes vorschreibt.</w:t>
      </w:r>
    </w:p>
    <w:p>
      <w:r>
        <w:rPr>
          <w:color w:val="555555"/>
          <w:sz w:val="17"/>
        </w:rPr>
        <w:t xml:space="preserve">Zitiervorschlag: § 195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