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183 VAG 2016 — Bekanntmachungen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hat zu bestimmen, wie die Vereinsbekanntmachungen erlassen werden.</w:t>
      </w:r>
    </w:p>
    <w:p>
      <w:r>
        <w:t xml:space="preserve">(2) Vereinsbekanntmachungen sind im Bundesanzeiger zu veröffentlichen.</w:t>
      </w:r>
    </w:p>
    <w:p>
      <w:r>
        <w:rPr>
          <w:color w:val="555555"/>
          <w:sz w:val="17"/>
        </w:rPr>
        <w:t xml:space="preserve">Zitiervorschlag: § 183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