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182 VAG 2016 — Ausschreibung von Umlagen und Nachschüssen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Satzung soll bestimmen, unter welchen Voraussetzungen Nachschüsse oder Umlagen ausgeschrieben werden dürfen, insbesondere, inwieweit zuvor andere Deckungsmittel wie Gründungsstock oder Rücklagen verwendet werden müssen.</w:t>
      </w:r>
    </w:p>
    <w:p>
      <w:r>
        <w:t xml:space="preserve">(2) Die Satzung soll ferner bestimmen, wie die Nachschüsse oder Umlagen ausgeschrieben und eingezogen werden.</w:t>
      </w:r>
    </w:p>
    <w:p>
      <w:r>
        <w:rPr>
          <w:color w:val="555555"/>
          <w:sz w:val="17"/>
        </w:rPr>
        <w:t xml:space="preserve">Zitiervorschlag: § 182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https://recht.nulegal.eu/gesetze/VAG%202016/182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