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180 VAG 2016 — Beitragspflicht ausgeschiedener oder eingetretener Mitglieder</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Zu den Nachschüssen oder Umlagen haben auch die im Laufe des Geschäftsjahres ausgeschiedenen oder eingetretenen Mitglieder beizutragen. Die Beitragspflicht bemisst sich danach, wie lange sie in dem Geschäftsjahr dem Verein angehört haben.</w:t>
      </w:r>
    </w:p>
    <w:p>
      <w:r>
        <w:t xml:space="preserve">(2) Bemisst sich der Nachschuss- oder Umlagebetrag eines Mitglieds nach dem im Voraus erhobenen Beitrag oder der Versicherungssumme, so ist, wenn während des Geschäftsjahres der Beitrag oder die Versicherungssumme herauf- oder herabgesetzt worden ist, der höhere Betrag bei der Berechnung zugrunde zu legen.</w:t>
      </w:r>
    </w:p>
    <w:p>
      <w:r>
        <w:t xml:space="preserve">(3) Die Absätze 1 und 2 gelten nur, soweit die Satzung nichts anderes bestimmt.</w:t>
      </w:r>
    </w:p>
    <w:p>
      <w:r>
        <w:rPr>
          <w:color w:val="555555"/>
          <w:sz w:val="17"/>
        </w:rPr>
        <w:t xml:space="preserve">Zitiervorschlag: § 180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180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