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 VAG 2016 — Firma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Satzung hat den Namen (die Firma) und den Sitz des Vereins zu bestimmen.</w:t>
      </w:r>
    </w:p>
    <w:p>
      <w:r>
        <w:t xml:space="preserve">(2) Die Firma soll den Sitz des Vereins erkennen lassen. Auch ist in der Firma oder in einem Zusatz auszudrücken, dass Versicherung auf Gegenseitigkeit betrieben wird.</w:t>
      </w:r>
    </w:p>
    <w:p>
      <w:r>
        <w:rPr>
          <w:color w:val="555555"/>
          <w:sz w:val="17"/>
        </w:rPr>
        <w:t xml:space="preserve">Zitiervorschlag: § 174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