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173 VAG 2016 — Satzung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Verfassung eines Versicherungsvereins auf Gegenseitigkeit wird durch die Satzung bestimmt, soweit sie nicht auf den folgenden Vorschriften beruht.</w:t>
      </w:r>
    </w:p>
    <w:p>
      <w:r>
        <w:t xml:space="preserve">(2) Die Satzung muss notariell beurkundet sein.</w:t>
      </w:r>
    </w:p>
    <w:p>
      <w:r>
        <w:rPr>
          <w:color w:val="555555"/>
          <w:sz w:val="17"/>
        </w:rPr>
        <w:t xml:space="preserve">Zitiervorschlag: § 173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https://recht.nulegal.eu/gesetze/VAG%202016/173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