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170 VAG 2016 — Verordnungsermächtigung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Finanzen wird ermächtigt, durch Rechtsverordnung Vorschriften zu erlassen</w:t>
      </w:r>
    </w:p>
    <w:p>
      <w:pPr>
        <w:ind w:left="420"/>
      </w:pPr>
      <w:r>
        <w:t xml:space="preserve">1. über die Ausgestaltung der Pflichten nach § 167 Absatz 2, soweit der Bereich nicht durch delegierte Rechtsakte der Kommission gemäß Artikel 210 Absatz 2 der Richtlinie 2009/138/EG geregelt ist, und</w:t>
      </w:r>
    </w:p>
    <w:p>
      <w:pPr>
        <w:ind w:left="420"/>
      </w:pPr>
      <w:r>
        <w:t xml:space="preserve">2. für die Finanzrückversicherung im Sinne des § 167 Absatz 1 für Finanzrückversicherungsverträge und Verträge ohne hinreichenden Risikotransfer darüber,</w:t>
      </w:r>
    </w:p>
    <w:p>
      <w:pPr>
        <w:ind w:left="780"/>
      </w:pPr>
      <w:r>
        <w:t xml:space="preserve">a) unter welchen Voraussetzungen ein Risikotransfer als hinreichend anzusehen ist,</w:t>
      </w:r>
    </w:p>
    <w:p>
      <w:pPr>
        <w:ind w:left="780"/>
      </w:pPr>
      <w:r>
        <w:t xml:space="preserve">b) welche Mindestbestimmungen in jedem Finanzrückversicherungsvertrag enthalten sein müssen und</w:t>
      </w:r>
    </w:p>
    <w:p>
      <w:pPr>
        <w:ind w:left="780"/>
      </w:pPr>
      <w:r>
        <w:t xml:space="preserve">c) wie Unternehmen durch geeignete interne Verfahren den Risikotransfer unter einem Vertrag zu ermitteln haben.</w:t>
      </w:r>
    </w:p>
    <w:p>
      <w:r>
        <w:t xml:space="preserve">Die Ermächtigung kann durch Rechtsverordnung auf die Bundesanstalt übertragen werden. Rechtsverordnungen nach den Sätzen 1 und 2 bedürfen nicht der Zustimmung des Bundesrates.</w:t>
      </w:r>
    </w:p>
    <w:p>
      <w:r>
        <w:rPr>
          <w:color w:val="555555"/>
          <w:sz w:val="17"/>
        </w:rPr>
        <w:t xml:space="preserve">Zitiervorschlag: § 170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https://recht.nulegal.eu/gesetze/VAG%202016/170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170 VAG 2016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