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VAG 2016 — Anzeige bedeutender Beteiligungen</w:t>
      </w:r>
    </w:p>
    <w:p>
      <w:r>
        <w:rPr>
          <w:color w:val="555555"/>
          <w:sz w:val="18"/>
        </w:rPr>
        <w:t xml:space="preserve">Versicherungsaufsichtsgesetz</w:t>
      </w:r>
    </w:p>
    <w:p>
      <w:r>
        <w:rPr>
          <w:color w:val="555555"/>
          <w:sz w:val="18"/>
        </w:rPr>
        <w:t xml:space="preserve">Stand: 16.12.2023 (konsolidierte Textfassung, kein amtliches Inkrafttretensdatum)</w:t>
      </w:r>
    </w:p>
    <w:p>
      <w:r>
        <w:t xml:space="preserve">(1) Jeder hat der Aufsichtsbehörde unverzüglich anzuzeigen, wenn er beabsichtigt,</w:t>
      </w:r>
    </w:p>
    <w:p>
      <w:pPr>
        <w:ind w:left="420"/>
      </w:pPr>
      <w:r>
        <w:t xml:space="preserve">1. allein oder im Zusammenwirken mit anderen Personen oder Unternehmen eine bedeutende Beteiligung an einem Versicherungsunternehmen direkt oder indirekt zu erwerben (interessierter Erwerber); in der Anzeige hat der interessierte Erwerber die für die Höhe der Beteiligung und die für die Begründung des maßgeblichen Einflusses, die Beurteilung seiner Zuverlässigkeit und die Prüfung der weiteren Untersagungsgründe nach § 18 Absatz 1 wesentlichen Tatsachen und Unterlagen anzugeben oder vorzulegen sowie die Personen und Unternehmen anzugeben, von denen er die entsprechenden Anteile erwerben will; ist der interessierte Erwerber eine juristische Person oder Personenhandelsgesellschaft, hat er in der Anzeige die für die Beurteilung der Zuverlässigkeit seiner gesetzlichen oder satzungsmäßigen Vertreter oder persönlich haftenden Gesellschafter wesentlichen Tatsachen anzugeben;</w:t>
      </w:r>
    </w:p>
    <w:p>
      <w:pPr>
        <w:ind w:left="420"/>
      </w:pPr>
      <w:r>
        <w:t xml:space="preserve">2. allein oder im Zusammenwirken mit anderen Personen oder Unternehmen den Betrag der bedeutenden Beteiligung so zu erhöhen, dass die Schwelle von 20 Prozent, 30 Prozent oder 50 Prozent der Stimmrechte oder des Nennkapitals erreicht oder überschritten wird oder dass über das Versicherungsunternehmen Kontrolle im Sinne des § 7 Nummer 16 ausgeübt wird oder</w:t>
      </w:r>
    </w:p>
    <w:p>
      <w:pPr>
        <w:ind w:left="420"/>
      </w:pPr>
      <w:r>
        <w:t xml:space="preserve">3. eine bedeutende Beteiligung an einem Versicherungsunternehmen aufzugeben oder den Betrag der bedeutenden Beteiligung unter die Schwelle von 20 Prozent, 30 Prozent oder 50 Prozent der Stimmrechte oder des Kapitals abzusenken oder die Beteiligung so zu verändern, dass über das Versicherungsunternehmen keine Kontrolle ausgeübt wird; dabei hat sie die verbleibende Höhe der Beteiligung anzugeben; die Aufsichtsbehörde kann eine Frist setzen, innerhalb derer ihr die Person oder Personenhandelsgesellschaft, welche die Anzeige erstattet hat, den Vollzug oder den Nichtvollzug der beabsichtigten Absenkung oder Veränderung anzuzeigen hat.</w:t>
      </w:r>
    </w:p>
    <w:p>
      <w:r>
        <w:t xml:space="preserve">Jeder hat der Aufsichtsbehörde anzuzeigen, wenn er unabsichtlich</w:t>
      </w:r>
    </w:p>
    <w:p>
      <w:pPr>
        <w:ind w:left="420"/>
      </w:pPr>
      <w:r>
        <w:t xml:space="preserve">1. eine bedeutende Beteiligung an einem Versicherungsunternehmen erwirbt oder so erhöht, dass die Schwelle von 20 Prozent, 30 Prozent oder 50 Prozent der Stimmrechte oder des Kapitals erreicht oder überschritten wird oder dass über das Versicherungsunternehmen Kontrolle ausgeübt wird; dies gilt auch, wenn er beabsichtigt, die Beteiligung so zurückzuführen, dass sie erneut unter den Schwellenwert fällt, sofern die Beteiligung nicht unverzüglich nach Kenntnis von dem Erwerb oder der Erhöhung zurückgeführt wird, oder</w:t>
      </w:r>
    </w:p>
    <w:p>
      <w:pPr>
        <w:ind w:left="420"/>
      </w:pPr>
      <w:r>
        <w:t xml:space="preserve">2. seine bedeutende Beteiligung an einem Versicherungsunternehmen aufgibt oder den Betrag seiner bedeutenden Beteiligung unter die Schwellen von 20 Prozent, 30 Prozent oder 50 Prozent der Stimmrechte oder des Kapitals absenkt oder die Beteiligung so verändert, dass über das Versicherungsunternehmen keine Kontrolle mehr ausgeübt wird.</w:t>
      </w:r>
    </w:p>
    <w:p>
      <w:r>
        <w:t xml:space="preserve">Die Anzeigen nach Satz 2 haben unverzüglich zu erfolgen, sobald der Anzeigepflichtige von den Umständen, die eine solche Anzeigepflicht begründen, Kenntnis erlangt hat.</w:t>
      </w:r>
    </w:p>
    <w:p>
      <w:r>
        <w:t xml:space="preserve">(2) Der Inhaber einer bedeutenden Beteiligung hat der Aufsichtsbehörde jeden neu bestellten gesetzlichen oder satzungsmäßigen Vertreter und jeden neuen persönlich haftenden Gesellschafter mit den für die Beurteilung von dessen Zuverlässigkeit wesentlichen Tatsachen unverzüglich anzuzeigen.</w:t>
      </w:r>
    </w:p>
    <w:p>
      <w:r>
        <w:t xml:space="preserve">(3) Die Aufsichtsbehörde hat den Eingang einer vollständigen Anzeige nach Absatz 1 Satz 1 Nummer 1 oder 2 oder Satz 2 Nummer 1 unverzüglich, spätestens jedoch innerhalb von zwei Arbeitstagen nach deren Zugang, schriftlich oder elektronisch gegenüber dem Anzeigepflichtigen zu bestätigen.</w:t>
      </w:r>
    </w:p>
    <w:p>
      <w:r>
        <w:t xml:space="preserve">(4) Die Aufsichtsbehörde hat die Anzeige nach Absatz 1 Satz 1 Nummer 1 oder 2 oder Satz 2 Nummer 1 innerhalb von 60 Arbeitstagen ab dem Datum des Schreibens, mit dem sie den Eingang der vollständigen Anzeige schriftlich oder elektronisch bestätigt hat (Beurteilungszeitraum), zu beurteilen. In der Bestätigung nach Absatz 3 hat die Aufsichtsbehörde dem Anzeigepflichtigen den Tag mitzuteilen, an dem der Beurteilungszeitraum endet. Bis zum 50. Arbeitstag innerhalb des Beurteilungszeitraums kann die Aufsichtsbehörde weitere Informationen anfordern, die für den Abschluss der Beurteilung notwendig sind. Die Anforderung ergeht schriftlich oder elektronisch unter Angabe der zusätzlich benötigten Informationen. Die Aufsichtsbehörde hat den Eingang der weiteren Informationen innerhalb von zwei Arbeitstagen nach deren Zugang schriftlich oder elektronisch gegenüber dem Anzeigepflichtigen zu bestätigen. Der Beurteilungszeitraum ist vom Zeitpunkt der Anforderung der weiteren Informationen bis zu deren Eingang bei der Aufsichtsbehörde gehemmt. Der Beurteilungszeitraum beträgt im Fall der Hemmung nach Satz 6 höchstens 80 Arbeitstage. Die Aufsichtsbehörde kann Ergänzungen oder Klarstellungen zu diesen Informationen anfordern; dies führt nicht zu einer erneuten Hemmung des Beurteilungszeitraums. Abweichend von Satz 7 kann der Beurteilungszeitraum im Fall einer Hemmung auf höchstens 90 Arbeitstage ausgedehnt werden, wenn der Anzeigepflichtige</w:t>
      </w:r>
    </w:p>
    <w:p>
      <w:pPr>
        <w:ind w:left="420"/>
      </w:pPr>
      <w:r>
        <w:t xml:space="preserve">1. außerhalb des Europäischen Wirtschaftsraums ansässig ist oder beaufsichtigt wird oder</w:t>
      </w:r>
    </w:p>
    <w:p>
      <w:pPr>
        <w:ind w:left="420"/>
      </w:pPr>
      <w:r>
        <w:t xml:space="preserve">2. eine natürliche Person oder ein Unternehmen ist, die oder das nicht der Beaufsichtigung nach einer der folgenden Richtlinien unterliegt:</w:t>
      </w:r>
    </w:p>
    <w:p>
      <w:pPr>
        <w:ind w:left="780"/>
      </w:pPr>
      <w:r>
        <w:t xml:space="preserve">a) 2009/65/EG des Europäischen Parlaments und des Rates vom 13. Juli 2009 zur Koordinierung der Rechts- und Verwaltungsvorschriften betreffend bestimmte Organismen für gemeinsame Anlagen in Wertpapieren (OGAW) (ABl. L 302 vom 17.11.2009, S. 32; L 269 vom 13.10.2010, S. 27), die zuletzt durch die Richtlinie (EU) 2019/2162 (ABl. L 328 vom 18.12.2019, S. 29) geändert worden ist,</w:t>
      </w:r>
    </w:p>
    <w:p>
      <w:pPr>
        <w:ind w:left="780"/>
      </w:pPr>
      <w:r>
        <w:t xml:space="preserve">b) 2014/65/EU des Europäischen Parlaments und des Rates vom 15. Mai 2014 über Märkte für Finanzinstrumente sowie zur Änderung der Richtlinien 2002/92/EG und 2011/61/EU (ABl. L 173 vom 12.6.2014, S. 349; L 74 vom 18.3.2015, S. 38; L 188 vom 13.7.2016, S. 28; L 273 vom 8.10.2016, S. 35; L 64 vom 10.3.2017, S. 116; L 278 vom 27.10.2017, S. 56), die zuletzt durch die Verordnung (EU) 2019/2115 (ABl. L 320 vom 11.12.2019, S. 1) geändert worden ist,</w:t>
      </w:r>
    </w:p>
    <w:p>
      <w:pPr>
        <w:ind w:left="780"/>
      </w:pPr>
      <w:r>
        <w:t xml:space="preserve">c) 2013/36/EU des Europäischen Parlaments und des Rates vom 26. Juni 2013 über den Zugang zur Tätigkeit von Kreditinstituten und die Beaufsichtigung von Kreditinstituten und Wertpapierfirmen, zur Änderung der Richtlinie 2002/87/EG und zur Aufhebung der Richtlinien 2006/48/EG und 2006/49/EG (ABl. L 176 vom 27.6.2013, S. 338; L 208 vom 2.8.2013, S. 73; L 20 vom 25.1.2017, S. 1; L 203 vom 26.6.2020, S. 95), die zuletzt durch die Richtlinie (EU) 2019/2034 (ABl. L 314 vom 5.12.2019, S. 64) geändert worden ist, oder</w:t>
      </w:r>
    </w:p>
    <w:p>
      <w:pPr>
        <w:ind w:left="780"/>
      </w:pPr>
      <w:r>
        <w:t xml:space="preserve">d) 2009/138/EG.</w:t>
      </w:r>
    </w:p>
    <w:p>
      <w:r>
        <w:rPr>
          <w:color w:val="555555"/>
          <w:sz w:val="17"/>
        </w:rPr>
        <w:t xml:space="preserve">Zitiervorschlag: § 17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