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169 VAG 2016 — Rückversicherungsunternehmen mit Sitz in einem anderen Mitglied- oder Vertragsstaat</w:t>
      </w:r>
    </w:p>
    <w:p>
      <w:r>
        <w:rPr>
          <w:color w:val="555555"/>
          <w:sz w:val="18"/>
        </w:rPr>
        <w:t xml:space="preserve">Versicherungsaufsichtsgesetz</w:t>
      </w:r>
    </w:p>
    <w:p>
      <w:r>
        <w:rPr>
          <w:color w:val="555555"/>
          <w:sz w:val="18"/>
        </w:rPr>
        <w:t xml:space="preserve">Stand: 01.04.2026 (konsolidierte Textfassung, kein amtliches Inkrafttretensdatum)</w:t>
      </w:r>
    </w:p>
    <w:p>
      <w:r>
        <w:t xml:space="preserve">(1) Rückversicherungsunternehmen mit Sitz in einem anderen Mitglied- oder Vertragsstaat, die eine behördliche Zulassung nach den Rechtsvorschriften besitzen, die in dem Herkunftsstaat zur Umsetzung des Artikels 14 der Richtlinie 2009/138/EG erlassen worden sind, dürfen das Rückversicherungsgeschäft im Inland durch eine Niederlassung oder im Dienstleistungsverkehr betreiben. Die Aufsicht mit Ausnahme der Finanzaufsicht obliegt der Bundesanstalt, die hierbei mit der zuständigen Aufsichtsbehörde des Herkunftsstaats zusammenzuarbeiten hat.</w:t>
      </w:r>
    </w:p>
    <w:p>
      <w:r>
        <w:t xml:space="preserve">(2) Stellt die Bundesanstalt fest, dass ein Rückversicherungsunternehmen im Sinne des Absatzes 1 die für die Ausübung seiner Tätigkeiten zu beachtenden Rechtsvorschriften nicht einhält, so fordert sie das Unternehmen auf, diese Unregelmäßigkeiten abzustellen. Gleichzeitig unterrichtet sie die Aufsichtsbehörde des Herkunftsstaats. Die Bundesanstalt unterrichtet die Aufsichtsbehörde des Herkunftsstaats auch, wenn sie Gründe für die Annahme hat, dass die Tätigkeiten des Rückversicherungsunternehmens zu einer Beeinträchtigung seiner finanziellen Solidität führen könnten. Auf Antrag der Aufsichtsbehörde des Herkunftsstaats des Rückversicherungsunternehmens trifft die Bundesanstalt in den in den §§ 133, 134 und 135 geregelten Fällen die dort vorgesehenen Maßnahmen. Die Aufsichtsbehörde des Herkunftsstaats hat die Vermögenswerte zu bezeichnen, die Gegenstand dieser Maßnahme sein sollen.</w:t>
      </w:r>
    </w:p>
    <w:p>
      <w:r>
        <w:t xml:space="preserve">(3) Verstößt das Rückversicherungsunternehmen trotz der eingeleiteten Maßnahmen nach Absatz 2 auch weiterhin gegen die zu beachtenden Rechtsvorschriften, so kann die Bundesanstalt nach erneuter Unterrichtung der zuständigen Behörde des Herkunftsstaats selbst alle erforderlichen Maßnahmen zur Beseitigung früherer und zur Verhütung künftiger Verstöße ergreifen. Sind hierbei Versuche, Anordnungen mit Zwangsmitteln durchzusetzen oder wegen Zwangsgelds zu vollstrecken, aussichtslos oder erfolglos, kann die Bundesanstalt, wenn andere Maßnahmen nicht zum Ziel führen oder nicht angebracht sind, die weitere Geschäftstätigkeit im Inland ganz oder teilweise untersagen. Darüber hinaus kann die Bundesanstalt gemäß Artikel 19 der Verordnung (EU) Nr. 1094/2010 die Europäische Aufsichtsbehörde für das Versicherungswesen und die betriebliche Altersversorgung mit der Angelegenheit befassen und um Unterstützung bitten.</w:t>
      </w:r>
    </w:p>
    <w:p>
      <w:r>
        <w:t xml:space="preserve">(4) Für die Aufsicht der Bundesanstalt nach Absatz 1 gelten neben den Absätzen 2 und 3 die §§ 4, 68 Absatz 2 Satz 4, die §§ 298, 299 Nummer 1, die §§ 303, 305 Absatz 1 Nummer 2, Absatz 3, § 306 Absatz 1 Satz 1 Nummer 1 bis 3, Absatz 2 Satz 1 Nummer 2, Absatz 4 bis 7, die §§ 306a und 310 dieses Gesetzes sowie § 17 des Finanzdienstleistungsaufsichtsgesetzes entsprechend. § 305 Absatz 1 Nummer 1 findet mit der Maßgabe entsprechende Anwendung, dass an die Stelle der Versicherungsnehmer die Vorversicherer treten.</w:t>
      </w:r>
    </w:p>
    <w:p>
      <w:r>
        <w:rPr>
          <w:color w:val="555555"/>
          <w:sz w:val="17"/>
        </w:rPr>
        <w:t xml:space="preserve">Zitiervorschlag: § 169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https://recht.nulegal.eu/gesetze/VAG%202016/169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