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160 VAG 2016 — Verordnungsermächtigung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Das Bundesministerium der Finanzen wird ermächtigt, durch Rechtsverordnung für die nach Art der Lebensversicherung betriebene Krankenversicherung</w:t>
      </w:r>
    </w:p>
    <w:p>
      <w:pPr>
        <w:ind w:left="420"/>
      </w:pPr>
      <w:r>
        <w:t xml:space="preserve">1. die versicherungsmathematischen Methoden zur Berechnung der Prämien einschließlich der Prämienänderungen und der versicherungstechnischen Rückstellungen im Sinne der §§ 341e bis 341h des Handelsgesetzbuchs, namentlich der Alterungsrückstellung, insbesondere zur Berücksichtigung der maßgeblichen Annahmen zur Invaliditäts- und Krankheitsgefahr, zur Pflegebedürftigkeit, zur Sterblichkeit, zur Alters- und Geschlechtsabhängigkeit des Risikos und zur Stornowahrscheinlichkeit sowie die Höhe des Sicherheitszuschlags und des Zinssatzes und die Grundsätze für die Bemessung und Begrenzung der sonstigen Zuschläge festzulegen;</w:t>
      </w:r>
    </w:p>
    <w:p>
      <w:pPr>
        <w:ind w:left="420"/>
      </w:pPr>
      <w:r>
        <w:t xml:space="preserve">2. nähere Bestimmungen zur Gleichartigkeit des Versicherungsschutzes sowie zur Anrechnung der erworbenen Rechte und der Alterungsrückstellung bei einem Tarifwechsel gemäß § 146 Absatz 1 Nummer 4 zu erlassen;</w:t>
      </w:r>
    </w:p>
    <w:p>
      <w:pPr>
        <w:ind w:left="420"/>
      </w:pPr>
      <w:r>
        <w:t xml:space="preserve">3. nähere Bestimmungen zur Berechnung des Übertragungswerts nach § 146 Absatz 1 Nummer 5 und § 148 Satz 2 zu erlassen;</w:t>
      </w:r>
    </w:p>
    <w:p>
      <w:pPr>
        <w:ind w:left="420"/>
      </w:pPr>
      <w:r>
        <w:t xml:space="preserve">4. nähere Bestimmungen zum Wechsel in den Basistarif gemäß § 152 Absatz 2 und zu einem darauf folgenden Wechsel aus dem Basistarif zu erlassen;</w:t>
      </w:r>
    </w:p>
    <w:p>
      <w:pPr>
        <w:ind w:left="420"/>
      </w:pPr>
      <w:r>
        <w:t xml:space="preserve">5. festzulegen, wie der Überzins nach § 150 Absatz 1 zu ermitteln, wie die Beträge auf die berechtigten Versicherten gemäß § 150 Absatz 2 und 4 zu verteilen sind und wie die Prämie des ursprünglichen Eintrittsalters ermittelt wird;</w:t>
      </w:r>
    </w:p>
    <w:p>
      <w:pPr>
        <w:ind w:left="420"/>
      </w:pPr>
      <w:r>
        <w:t xml:space="preserve">6. zur Wahrung der Belange der Versicherten Vorschriften über die Mindestzuführung zur Rückstellung für erfolgsabhängige Beitragsrückerstattung gemäß § 151 Absatz 2 zu erlassen, insbesondere über die Höhe und Berechnung des Zuführungssatzes; als Zuführungssatz getrennt für die Krankenversicherung im Sinne des § 146 Absatz 1 Satz 1, für die private Pflege-Pflichtversicherung im Sinne des § 148 und für die geförderte Pflegevorsorge im Sinne des § 148 ist ein Prozentsatz aus der Summe von Jahresüberschuss und den Aufwendungen für die erfolgsabhängige Beitragsrückerstattung festzulegen; hierbei sind eine Direktgutschrift und ein durchschnittlicher Solvabilitätsbedarf der Krankenversicherungsunternehmen zu berücksichtigen;</w:t>
      </w:r>
    </w:p>
    <w:p>
      <w:pPr>
        <w:ind w:left="420"/>
      </w:pPr>
      <w:r>
        <w:t xml:space="preserve">7. das Verfahren zur Gegenüberstellung der erforderlichen mit den kalkulierten Versicherungsleistungen und den zuletzt veröffentlichten Sterbewahrscheinlichkeiten nach § 155 Absatz 3 sowie die Frist für die Vorlage der Gegenüberstellung an die Aufsichtsbehörde und den Treuhänder festzulegen.</w:t>
      </w:r>
    </w:p>
    <w:p>
      <w:r>
        <w:t xml:space="preserve">Die Ermächtigung kann durch Rechtsverordnung auf die Bundesanstalt übertragen werden. Rechtsverordnungen nach den Sätzen 1 und 2 bedürfen nicht der Zustimmung des Bundesrates; sie sind, mit Ausnahme von Satz 1 Nummer 6, im Einvernehmen mit dem Bundesministerium der Justiz und für Verbraucherschutz zu erlassen.</w:t>
      </w:r>
    </w:p>
    <w:p>
      <w:r>
        <w:rPr>
          <w:color w:val="555555"/>
          <w:sz w:val="17"/>
        </w:rPr>
        <w:t xml:space="preserve">Zitiervorschlag: § 160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