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VAG 2016 — Immobiliar-Verbraucherdarlehen; Verordnungsermächtigung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Vergabe von Immobiliar-Verbraucherdarlehen gilt § 18a Absatz 1 bis 10 des Kreditwesengesetzes entsprechend. Bei der Kreditwürdigkeitsprüfung durch Unternehmen, die nicht der Aufsicht durch die Aufsichtsbehörden der Länder unterliegen, gelten die Leitlinien der gemäß § 18a Absatz 10a des Kreditwesengesetzes erlassenen Rechtsverordnung entsprechend.</w:t>
      </w:r>
    </w:p>
    <w:p>
      <w:r>
        <w:t xml:space="preserve">(2) Das Bundesministerium der Finanzen wird ermächtigt, durch Rechtsverordnung mit Zustimmung des Bundesrates nähere Bestimmungen über die nach Absatz 1 in Verbindung mit § 18a Absatz 6 des Kreditwesengesetzes erforderlichen Kenntnisse und Fähigkeiten der mit der Vergabe von Immobiliar-Verbraucherdarlehen befassten internen und externen Mitarbeiter zu erlassen. Das Bundesministerium der Finanzen kann die Ermächtigung nach Satz 1 durch Rechtsverordnung mit Zustimmung des Bundesrates auf die Bundesanstalt übertragen.</w:t>
      </w:r>
    </w:p>
    <w:p>
      <w:r>
        <w:rPr>
          <w:color w:val="555555"/>
          <w:sz w:val="17"/>
        </w:rPr>
        <w:t xml:space="preserve">Zitiervorschlag: § 15a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