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159 VAG 2016 — Statistische Daten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veröffentlicht nicht tarifspezifische allgemeine Wahrscheinlichkeitstafeln und andere einschlägige statistische Daten für die Krankenversicherung im Sinne des § 146 Absatz 1. § 318 Absatz 3 ist entsprechend anzuwenden.</w:t>
      </w:r>
    </w:p>
    <w:p>
      <w:r>
        <w:t xml:space="preserve">(2) Erstversicherungsunternehmen mit Sitz im Inland, die die Krankenversicherung betreiben, sind verpflichtet, die für die Veröffentlichung nach Absatz 1 benötigten Daten anhand der Daten ihrer Versicherungsbestände der Bundesanstalt jährlich mitzuteilen. In der in § 160 genannten Rechtsverordnung ist festzulegen, welche Versicherungsbestände und Daten hierbei zu berücksichtigen sind.</w:t>
      </w:r>
    </w:p>
    <w:p>
      <w:r>
        <w:t xml:space="preserve">(3) Die Bundesanstalt übermittelt die gemäß Absatz 1 veröffentlichten Daten zur Krankenversicherung den Aufsichtsbehörden der Herkunftsstaaten.</w:t>
      </w:r>
    </w:p>
    <w:p>
      <w:r>
        <w:rPr>
          <w:color w:val="555555"/>
          <w:sz w:val="17"/>
        </w:rPr>
        <w:t xml:space="preserve">Zitiervorschlag: § 159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159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