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152 VAG 2016 — Basistarif</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Versicherungsunternehmen mit Sitz im Inland, die die substitutive Krankenversicherung betreiben, haben einen branchenweit einheitlichen Basistarif anzubieten, dessen Vertragsleistungen in Art, Umfang und Höhe jeweils den Leistungen nach dem Dritten Kapitel des Fünften Buches Sozialgesetzbuch, auf die ein Anspruch besteht, vergleichbar sind. Der Basistarif muss jeweils eine Variante vorsehen für</w:t>
      </w:r>
    </w:p>
    <w:p>
      <w:pPr>
        <w:ind w:left="420"/>
      </w:pPr>
      <w:r>
        <w:t xml:space="preserve">1. Kinder und Jugendliche; bei dieser Variante werden bis zur Vollendung des 21. Lebensjahres keine Alterungsrückstellungen gebildet und</w:t>
      </w:r>
    </w:p>
    <w:p>
      <w:pPr>
        <w:ind w:left="420"/>
      </w:pPr>
      <w:r>
        <w:t xml:space="preserve">2. Personen, die nach beamtenrechtlichen Vorschriften oder Grundsätzen bei Krankheit Anspruch auf Beihilfe haben sowie für deren berücksichtigungsfähige Angehörige; bei dieser Variante sind die Vertragsleistungen auf die Ergänzung der Beihilfe beschränkt.</w:t>
      </w:r>
    </w:p>
    <w:p>
      <w:r>
        <w:t xml:space="preserve">Den Versicherten muss die Möglichkeit eingeräumt werden, Selbstbehalte von 300, 600, 900 oder 1 200 Euro zu vereinbaren und die Änderung der Selbstbehaltsstufe zum Ende des vertraglich vereinbarten Zeitraums mit einer Frist von drei Monaten zu verlangen. Die vertragliche Mindestbindungsfrist für Verträge mit Selbstbehalt im Basistarif beträgt drei Jahre; führt der vereinbarte Selbstbehalt nicht zu einer angemessenen Reduzierung der Prämie, kann der Versicherungsnehmer vom Versicherer jederzeit eine Umstellung des Vertrags in den Basistarif ohne Selbstbehalt verlangen; die Umstellung muss innerhalb von drei Monaten erfolgen. Für Beihilfeberechtigte ergeben sich die möglichen Selbstbehalte aus der Anwendung des durch den Beihilfesatz nicht gedeckten Prozentsatzes auf die Werte 300, 600, 900 oder 1 200 Euro. Der Abschluss ergänzender Krankheitskostenversicherungen ist zulässig.</w:t>
      </w:r>
    </w:p>
    <w:p>
      <w:r>
        <w:t xml:space="preserve">(2) Der Versicherer ist verpflichtet, folgenden Personen eine Versicherung im Basistarif zu gewähren:</w:t>
      </w:r>
    </w:p>
    <w:p>
      <w:pPr>
        <w:ind w:left="420"/>
      </w:pPr>
      <w:r>
        <w:t xml:space="preserve">1. allen freiwillig in der gesetzlichen Krankenversicherung Versicherten innerhalb von sechs Monaten nach Beginn der im Fünften Buch Sozialgesetzbuch vorgesehenen Wechselmöglichkeit im Rahmen ihres freiwilligen Versicherungsverhältnisses,</w:t>
      </w:r>
    </w:p>
    <w:p>
      <w:pPr>
        <w:ind w:left="420"/>
      </w:pPr>
      <w:r>
        <w:t xml:space="preserve">2. allen Personen mit Wohnsitz in Deutschland, die nicht in der gesetzlichen Krankenversicherung versicherungspflichtig sind, nicht zum Personenkreis nach Nummer 1 oder § 193 Absatz 3 Satz 2 Nummer 3 und 4 des Versicherungsvertragsgesetzes gehören und die nicht bereits eine private Krankheitskostenversicherung mit einem in Deutschland zum Geschäftsbetrieb zugelassenen Versicherungsunternehmen vereinbart haben, die der Pflicht nach § 193 Absatz 3 des Versicherungsvertragsgesetzes genügt,</w:t>
      </w:r>
    </w:p>
    <w:p>
      <w:pPr>
        <w:ind w:left="420"/>
      </w:pPr>
      <w:r>
        <w:t xml:space="preserve">3. allen Personen, die beihilfeberechtigt sind oder vergleichbare Ansprüche haben, soweit sie zur Erfüllung der Pflicht nach § 193 Absatz 3 Satz 1 des Versicherungsvertragsgesetzes ergänzenden Versicherungsschutz benötigen, sowie</w:t>
      </w:r>
    </w:p>
    <w:p>
      <w:pPr>
        <w:ind w:left="420"/>
      </w:pPr>
      <w:r>
        <w:t xml:space="preserve">4. allen Personen mit Wohnsitz in Deutschland, die eine private Krankheitskostenversicherung mit einem in Deutschland zum Geschäftsbetrieb zugelassenen Versicherungsunternehmen vereinbart haben und deren Vertrag nach dem 31. Dezember 2008 abgeschlossen wurde.</w:t>
      </w:r>
    </w:p>
    <w:p>
      <w:r>
        <w:t xml:space="preserve">Ist der private Krankheitskostenversicherungsvertrag vor dem 1. Januar 2009 abgeschlossen, kann bei Wechsel oder Kündigung des Vertrags der Abschluss eines Vertrags im Basistarif beim eigenen oder bei einem anderen Versicherungsunternehmen unter Mitnahme der Alterungsrückstellungen gemäß § 204 Absatz 1 des Versicherungsvertragsgesetzes nicht verlangt werden. Der Antrag nach Satz 1 muss bereits dann angenommen werden, wenn bei einer Kündigung eines Vertrags bei einem anderen Versicherer die Kündigung nach § 205 Absatz 1 Satz 1 des Versicherungsvertragsgesetzes noch nicht wirksam geworden ist. Der Antrag darf nur abgelehnt werden, wenn der Antragsteller bereits bei dem Versicherer versichert war und der Versicherer</w:t>
      </w:r>
    </w:p>
    <w:p>
      <w:pPr>
        <w:ind w:left="420"/>
      </w:pPr>
      <w:r>
        <w:t xml:space="preserve">1. den Versicherungsvertrag wegen Drohung oder arglistiger Täuschung angefochten hat oder</w:t>
      </w:r>
    </w:p>
    <w:p>
      <w:pPr>
        <w:ind w:left="420"/>
      </w:pPr>
      <w:r>
        <w:t xml:space="preserve">2. vom Versicherungsvertrag wegen einer vorsätzlichen Verletzung der vorvertraglichen Anzeigepflicht zurückgetreten ist.</w:t>
      </w:r>
    </w:p>
    <w:p>
      <w:r>
        <w:t xml:space="preserve">(3) Der Beitrag für den Basistarif ohne Selbstbehalt und in allen Selbstbehaltsstufen darf den Höchstbeitrag der gesetzlichen Krankenversicherung nicht überschreiten. Dieser Höchstbeitrag ergibt sich aus der Multiplikation des allgemeinen Beitragssatzes zuzüglich des durchschnittlichen Zusatzbeitragssatzes nach § 242a Absatz 2 des Fünften Buches Sozialgesetzbuch mit der jeweils geltenden Beitragsbemessungsgrenze in der gesetzlichen Krankenversicherung. Für Personen mit Anspruch auf Beihilfe nach beamtenrechtlichen Grundsätzen gelten die Sätze 1 und 2 mit der Maßgabe, dass an die Stelle des Höchstbeitrags der gesetzlichen Krankenversicherung ein Höchstbeitrag tritt, der dem prozentualen Anteil des die Beihilfe ergänzenden Leistungsanspruchs entspricht.</w:t>
      </w:r>
    </w:p>
    <w:p>
      <w:r>
        <w:t xml:space="preserve">(4) Besteht Hilfebedürftigkeit im Sinne des Zweiten oder des Zwölften Buches Sozialgesetzbuch oder würde allein durch die Zahlung des Beitrags nach Absatz 3 Satz 1 oder 3 Hilfebedürftigkeit entstehen, vermindert sich der Beitrag für die Dauer der Hilfebedürftigkeit oder für die Zeit, in der Hilfebedürftigkeit entstehen würde, um die Hälfte; die Hilfebedürftigkeit ist vom zuständigen Träger nach dem Zweiten oder dem Zwölften Buch Sozialgesetzbuch auf Antrag des Versicherten zu prüfen und zu bescheinigen.</w:t>
      </w:r>
    </w:p>
    <w:p>
      <w:r>
        <w:t xml:space="preserve">(5) Die Beiträge für den Basistarif ohne die Kosten für den Versicherungsbetrieb werden auf der Basis gemeinsamer Kalkulationsgrundlagen einheitlich für alle beteiligten Unternehmen ermittelt.</w:t>
      </w:r>
    </w:p>
    <w:p>
      <w:r>
        <w:rPr>
          <w:color w:val="555555"/>
          <w:sz w:val="17"/>
        </w:rPr>
        <w:t xml:space="preserve">Zitiervorschlag: § 152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