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151 VAG 2016 — Überschussbeteiligung der Versicherten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 139 Absatz 1 und 2 Satz 1 und 2 sowie § 140 Absatz 1 mit Ausnahme von § 140 Absatz 1 Satz 2 Nummer 2 und 3 sind auf Krankenversicherungsverträge, die eine erfolgsabhängige Beitragsrückerstattung der Versicherten vorsehen, entsprechend anzuwenden.</w:t>
      </w:r>
    </w:p>
    <w:p>
      <w:r>
        <w:t xml:space="preserve">(2) In der nach Art der Lebensversicherung betriebenen Krankenversicherung liegt ein die Belange der Versicherten gefährdender Missstand auch dann vor, wenn keine angemessene Zuführung zur Rückstellung für erfolgsabhängige Beitragsrückerstattung erfolgt. Das ist, soweit nicht eine Überschussbeteiligung nach der Art des Geschäfts ausscheidet, insbesondere dann anzunehmen, wenn die Zuführung zur Rückstellung für erfolgsabhängige Beitragsrückerstattung eines Krankenversicherungsunternehmens nicht dem in der Rechtsverordnung nach § 160 Satz 1 Nummer 6 festgelegten Zuführungssatz entspricht.</w:t>
      </w:r>
    </w:p>
    <w:p>
      <w:r>
        <w:t xml:space="preserve">(3) Die Aufsichtsbehörde kann verlangen, dass ihr ein Plan zur Sicherstellung angemessener Zuführungen zur Rückstellung für erfolgsabhängige Beitragsrückerstattung (Zuführungsplan) vorgelegt wird, wenn die Zuführung zur Rückstellung nicht den Mindestanforderungen der Rechtsverordnung nach § 160 Satz 1 Nummer 6 entspricht.</w:t>
      </w:r>
    </w:p>
    <w:p>
      <w:r>
        <w:rPr>
          <w:color w:val="555555"/>
          <w:sz w:val="17"/>
        </w:rPr>
        <w:t xml:space="preserve">Zitiervorschlag: § 151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