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VAG 2016 — Versicherungsfremde Geschäfte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Erstversicherungsunternehmen dürfen neben Versicherungsgeschäften nur solche Geschäfte betreiben, die mit Versicherungsgeschäften in unmittelbarem Zusammenhang stehen. Bei Termingeschäften und Geschäften mit Optionen und ähnlichen Finanzinstrumenten ist ein solcher Zusammenhang anzunehmen, wenn sie der Absicherung gegen Kurs- oder Zinsänderungsrisiken bei vorhandenen Vermögenswerten oder dem späteren Erwerb von Wertpapieren dienen sollen oder wenn aus vorhandenen Wertpapieren ein zusätzlicher Ertrag erzielt werden soll, ohne dass bei Erfüllung von Lieferverpflichtungen eine Unterdeckung des Sicherungsvermögens eintreten kann. Bei einer Aufnahme von Fremdmitteln besteht regelmäßig kein unmittelbarer Zusammenhang im Sinne des Satzes 1. Bei einem anderen Geschäft ist ein solcher Zusammenhang nur anzunehmen, wenn es nicht mit einem zusätzlichen finanziellen Risiko verbunden ist.</w:t>
      </w:r>
    </w:p>
    <w:p>
      <w:r>
        <w:t xml:space="preserve">(2) Rückversicherungsunternehmen dürfen nur Rückversicherungsgeschäfte sowie damit verbundene Geschäfte und Dienstleistungen betreiben. Als mit einem Rückversicherungsgeschäft verbundenes Geschäft gelten auch die Funktion und die Tätigkeiten als Holdinggesellschaft in Bezug auf Unternehmen der Finanzbranche im Sinne des § 2 Absatz 3 des Finanzkonglomerate-Aufsichtsgesetzes.</w:t>
      </w:r>
    </w:p>
    <w:p>
      <w:r>
        <w:t xml:space="preserve">(3) Der Versicherungsvertrieb im Sinne von § 7 Nummer 34a gehört zum Geschäftsbetrieb eines Versicherungsunternehmens.</w:t>
      </w:r>
    </w:p>
    <w:p>
      <w:r>
        <w:rPr>
          <w:color w:val="555555"/>
          <w:sz w:val="17"/>
        </w:rPr>
        <w:t xml:space="preserve">Zitiervorschlag: § 15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