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 VAG 2016 — Substitutive Krankenversicherung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Krankenversicherung ganz oder teilweise den im gesetzlichen Sozialversicherungssystem vorgesehenen Kranken- oder Pflegeversicherungsschutz ersetzen kann (substitutive Krankenversicherung), darf sie im Inland vorbehaltlich des Absatzes 3 nur nach Art der Lebensversicherung betrieben werden, wobei</w:t>
      </w:r>
    </w:p>
    <w:p>
      <w:pPr>
        <w:ind w:left="420"/>
      </w:pPr>
      <w:r>
        <w:t xml:space="preserve">1. die Prämien auf versicherungsmathematischer Grundlage unter Zugrundelegung von Wahrscheinlichkeitstafeln und anderen einschlägigen statistischen Daten zu berechnen sind, insbesondere unter Berücksichtigung der maßgeblichen Annahmen zur Invaliditäts- und Krankheitsgefahr, zur Sterblichkeit, zur Alters- und Geschlechtsabhängigkeit des Risikos und zur Stornowahrscheinlichkeit sowie unter Berücksichtigung von Sicherheits- und sonstigen Zuschlägen sowie eines Rechnungszinses,</w:t>
      </w:r>
    </w:p>
    <w:p>
      <w:pPr>
        <w:ind w:left="420"/>
      </w:pPr>
      <w:r>
        <w:t xml:space="preserve">2. die Alterungsrückstellung nach § 341f des Handelsgesetzbuchs zu bilden ist,</w:t>
      </w:r>
    </w:p>
    <w:p>
      <w:pPr>
        <w:ind w:left="420"/>
      </w:pPr>
      <w:r>
        <w:t xml:space="preserve">3. in dem Versicherungsvertrag das ordentliche Kündigungsrecht des Versicherungsunternehmens ausgeschlossen sein muss, in der Krankentagegeldversicherung spätestens ab dem vierten Versicherungsjahr, sowie eine Erhöhung der Prämien vorbehalten sein muss,</w:t>
      </w:r>
    </w:p>
    <w:p>
      <w:pPr>
        <w:ind w:left="420"/>
      </w:pPr>
      <w:r>
        <w:t xml:space="preserve">4. dem Versicherungsnehmer in dem Versicherungsvertrag das Recht auf Vertragsänderungen durch Wechsel in andere Tarife mit gleichartigem Versicherungsschutz unter Anrechnung der aus der Vertragslaufzeit erworbenen Rechte und der Alterungsrückstellung einzuräumen ist,</w:t>
      </w:r>
    </w:p>
    <w:p>
      <w:pPr>
        <w:ind w:left="420"/>
      </w:pPr>
      <w:r>
        <w:t xml:space="preserve">5. in dem Versicherungsvertrag die Mitgabe des Übertragungswerts desjenigen Teils der Versicherung, dessen Leistungen dem Basistarif im Sinne des § 152 Absatz 1 entsprechen, bei Wechsel des Versicherungsnehmers zu einem anderen privaten Krankenversicherungsunternehmen vorzusehen ist; dies gilt nicht für vor dem 1. Januar 2009 abgeschlossene Verträge und</w:t>
      </w:r>
    </w:p>
    <w:p>
      <w:pPr>
        <w:ind w:left="420"/>
      </w:pPr>
      <w:r>
        <w:t xml:space="preserve">6. dem Interessenten vor Abschluss des Vertrags ein amtliches Informationsblatt der Bundesanstalt auszuhändigen ist, welches über die verschiedenen Prinzipien der gesetzlichen sowie der privaten Krankenversicherung aufklärt; der Empfang des Informationsblattes ist von dem Interessenten zu bestätigen.</w:t>
      </w:r>
    </w:p>
    <w:p>
      <w:r>
        <w:t xml:space="preserve">(2) Auf die substitutive Krankenversicherung ist § 138 Absatz 2 entsprechend anzuwenden. Die Prämien für das Neugeschäft dürfen nicht niedriger sein als die Prämien, die sich im Altbestand für gleichaltrige Versicherte ohne Berücksichtigung ihrer Alterungsrückstellung ergeben würden. Satz 2 gilt nicht für einen Prämienunterschied, der sich daraus ergibt, dass die Prämien für das Neugeschäft geschlechtsunabhängig berechnet wurden.</w:t>
      </w:r>
    </w:p>
    <w:p>
      <w:r>
        <w:t xml:space="preserve">(3) Substitutive Krankenversicherungen mit befristeten Vertragslaufzeiten nach § 195 Absatz 2 und 3 des Versicherungsvertragsgesetzes sowie Krankentagegeldversicherungen nach Vollendung des 65. Lebensjahres des Versicherten nach § 196 des Versicherungsvertragsgesetzes können ohne Alterungsrückstellung kalkuliert werden.</w:t>
      </w:r>
    </w:p>
    <w:p>
      <w:r>
        <w:rPr>
          <w:color w:val="555555"/>
          <w:sz w:val="17"/>
        </w:rPr>
        <w:t xml:space="preserve">Zitiervorschlag: § 146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