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144 VAG 2016 — Information bei betrieblicher Altersversorgung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Soweit Lebensversicherungsunternehmen Leistungen der betrieblichen Altersversorgung erbringen, gelten für die Information der Versorgungsanwärter und Versorgungsempfänger die §§ 234k bis 234p und 235a entsprechend.</w:t>
      </w:r>
    </w:p>
    <w:p>
      <w:r>
        <w:t xml:space="preserve">(2) Auf Versicherungsgeschäfte in anderen Mitglied- oder Vertragsstaaten ist Absatz 1 anzuwenden, wenn den Versicherungsverträgen deutsches Recht zugrunde liegt.</w:t>
      </w:r>
    </w:p>
    <w:p>
      <w:r>
        <w:rPr>
          <w:color w:val="555555"/>
          <w:sz w:val="17"/>
        </w:rPr>
        <w:t xml:space="preserve">Zitiervorschlag: § 144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https://recht.nulegal.eu/gesetze/VAG%202016/144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