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140 VAG 2016 — Rückstellung für Beitragsrückerstattung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der Rückstellung für Beitragsrückerstattung zugewiesenen Beträge dürfen nur für die Überschussbeteiligung der Versicherten einschließlich der durch § 153 des Versicherungsvertragsgesetzes vorgeschriebenen Beteiligung an den Bewertungsreserven verwendet werden. In Ausnahmefällen kann die Rückstellung für Beitragsrückerstattung, soweit sie nicht auf bereits festgelegte Überschussanteile entfällt, mit Zustimmung der Aufsichtsbehörde im Interesse der Versicherten herangezogen werden, um</w:t>
      </w:r>
    </w:p>
    <w:p>
      <w:pPr>
        <w:ind w:left="420"/>
      </w:pPr>
      <w:r>
        <w:t xml:space="preserve">1. einen drohenden Notstand abzuwenden,</w:t>
      </w:r>
    </w:p>
    <w:p>
      <w:pPr>
        <w:ind w:left="420"/>
      </w:pPr>
      <w:r>
        <w:t xml:space="preserve">2. unvorhersehbare Verluste aus den überschussberechtigten Versicherungsverträgen auszugleichen, die auf allgemeine Änderungen der Verhältnisse zurückzuführen sind, oder</w:t>
      </w:r>
    </w:p>
    <w:p>
      <w:pPr>
        <w:ind w:left="420"/>
      </w:pPr>
      <w:r>
        <w:t xml:space="preserve">3. die Deckungsrückstellung zu erhöhen, wenn die Rechnungsgrundlagen auf Grund einer unvorhersehbaren und nicht nur vorübergehenden Änderung der Verhältnisse angepasst werden müssen.</w:t>
      </w:r>
    </w:p>
    <w:p>
      <w:r>
        <w:t xml:space="preserve">Bei Maßnahmen nach Satz 2 Nummer 2 oder 3 sind die Versichertenbestände verursachungsorientiert zu belasten.</w:t>
      </w:r>
    </w:p>
    <w:p>
      <w:r>
        <w:t xml:space="preserve">(2) Ein die Belange der Versicherten gefährdender Missstand liegt vor, wenn bei überschussberechtigten Versicherungen</w:t>
      </w:r>
    </w:p>
    <w:p>
      <w:pPr>
        <w:ind w:left="420"/>
      </w:pPr>
      <w:r>
        <w:t xml:space="preserve">1. keine angemessene Zuführung zur Rückstellung für Beitragsrückerstattung erfolgt oder</w:t>
      </w:r>
    </w:p>
    <w:p>
      <w:pPr>
        <w:ind w:left="420"/>
      </w:pPr>
      <w:r>
        <w:t xml:space="preserve">2. keine angemessene Verwendung der Mittel in der Rückstellung für Beitragsrückerstattung erfolgt.</w:t>
      </w:r>
    </w:p>
    <w:p>
      <w:r>
        <w:t xml:space="preserve">Das ist insbesondere dann anzunehmen, wenn</w:t>
      </w:r>
    </w:p>
    <w:p>
      <w:pPr>
        <w:ind w:left="420"/>
      </w:pPr>
      <w:r>
        <w:t xml:space="preserve">1. im Fall des Satzes 1 Nummer 1 die Zuführung zur Rückstellung für Beitragsrückerstattung eines Lebensversicherungsunternehmens unter Berücksichtigung der Direktgutschrift und der rechnungsmäßigen Zinsen nicht der gemäß § 145 Absatz 2 durch Rechtsverordnung festgelegten Mindestzuführung entspricht und</w:t>
      </w:r>
    </w:p>
    <w:p>
      <w:pPr>
        <w:ind w:left="420"/>
      </w:pPr>
      <w:r>
        <w:t xml:space="preserve">2. im Fall des Satzes 1 Nummer 2 der ungebundene Teil der Rückstellung für Beitragsrückerstattung den gemäß § 145 Absatz 3 durch Rechtsverordnung festgelegten Höchstbetrag überschreitet.</w:t>
      </w:r>
    </w:p>
    <w:p>
      <w:r>
        <w:t xml:space="preserve">(3) Die Aufsichtsbehörde kann verlangen, dass ihr</w:t>
      </w:r>
    </w:p>
    <w:p>
      <w:pPr>
        <w:ind w:left="420"/>
      </w:pPr>
      <w:r>
        <w:t xml:space="preserve">1. ein Plan zur Sicherstellung angemessener Zuführungen zur Rückstellung für Beitragsrückerstattung (Zuführungsplan) vorgelegt wird, wenn die Zuführung zur Rückstellung nicht den Mindestanforderungen der Rechtsverordnung nach § 145 Absatz 2 entspricht, oder</w:t>
      </w:r>
    </w:p>
    <w:p>
      <w:pPr>
        <w:ind w:left="420"/>
      </w:pPr>
      <w:r>
        <w:t xml:space="preserve">2. ein Plan zur angemessenen Verwendung der Mittel in der Rückstellung für Beitragsrückerstattung (Ausschüttungsplan) vorgelegt wird, wenn der ungebundene Teil der Rückstellung den Höchstbetrag der Rechtsverordnung nach § 145 Absatz 3 überschreitet.</w:t>
      </w:r>
    </w:p>
    <w:p>
      <w:r>
        <w:t xml:space="preserve">(4) Lebensversicherungsunternehmen können innerhalb der Rückstellung für Beitragsrückerstattung einen kollektiven Teil oder mehrere kollektive Teile einrichten, der beziehungsweise die den überschussberechtigten Verträgen insgesamt zugeordnet ist beziehungsweise sind.</w:t>
      </w:r>
    </w:p>
    <w:p>
      <w:r>
        <w:rPr>
          <w:color w:val="555555"/>
          <w:sz w:val="17"/>
        </w:rPr>
        <w:t xml:space="preserve">Zitiervorschlag: § 140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