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VAG 2016 — Umwandlungen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Jede Umwandlung eines Erstversicherungsunternehmens nach den §§ 1, 305, 320 und 333 des Umwandlungsgesetzes bedarf der Genehmigung der Aufsichtsbehörde. § 13 Absatz 1 Satz 2 und Absatz 2, 4 und 5 ist entsprechend anzuwenden. Verlegt im Zuge einer Umwandlung nach Satz 1 das Versicherungsunternehmen seinen Sitz ins Ausland, erlischt die Erlaubnis.</w:t>
      </w:r>
    </w:p>
    <w:p>
      <w:r>
        <w:t xml:space="preserve">(2) Die Aufsichtsbehörde kann die Genehmigung auch versagen, wenn die Vorschriften über die Umwandlung nicht beachtet worden sind.</w:t>
      </w:r>
    </w:p>
    <w:p>
      <w:r>
        <w:rPr>
          <w:color w:val="555555"/>
          <w:sz w:val="17"/>
        </w:rPr>
        <w:t xml:space="preserve">Zitiervorschlag: § 14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