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VAG 2016 — Prämienkalkulation in der Lebensversicherung; Gleichbehandlung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Prämien in der Lebensversicherung müssen unter Zugrundelegung angemessener versicherungsmathematischer Annahmen kalkuliert werden und so hoch sein, dass das Lebensversicherungsunternehmen allen seinen Verpflichtungen nachkommen und insbesondere für die einzelnen Verträge ausreichende Deckungsrückstellungen bilden kann. Hierbei kann der Finanzlage des Versicherungsunternehmens Rechnung getragen werden, ohne dass planmäßig und auf Dauer Mittel eingesetzt werden dürfen, die nicht aus Prämienzahlungen stammen.</w:t>
      </w:r>
    </w:p>
    <w:p>
      <w:r>
        <w:t xml:space="preserve">(2) Bei gleichen Voraussetzungen dürfen Prämien und Leistungen nur nach gleichen Grundsätzen bemessen werden.</w:t>
      </w:r>
    </w:p>
    <w:p>
      <w:r>
        <w:rPr>
          <w:color w:val="555555"/>
          <w:sz w:val="17"/>
        </w:rPr>
        <w:t xml:space="preserve">Zitiervorschlag: § 138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