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137 VAG 2016 — Fortschreitende Verschlechterung der Solvabilität</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Im Fall einer fortschreitenden Verschlechterung der Solvabilität eines Versicherungsunternehmens kann die Aufsichtsbehörde neben den in den §§ 134 und 135 genannten Maßnahmen alle Maßnahmen ergreifen, die zur Wahrung der sich aus den Versicherungsverträgen ergebenden Interessen der Versicherungsnehmer oder zur Erfüllung der Verpflichtungen aus Rückversicherungsverträgen geeignet, erforderlich und angemessen sind. Bei der Auswahl der Maßnahme müssen Grad und Dauer der Verschlechterung der Solvabilitätssituation des Versicherungsunternehmens berücksichtigt werden.</w:t>
      </w:r>
    </w:p>
    <w:p>
      <w:r>
        <w:t xml:space="preserve">(2) Insbesondere kann die Aufsichtsbehörde</w:t>
      </w:r>
    </w:p>
    <w:p>
      <w:pPr>
        <w:ind w:left="420"/>
      </w:pPr>
      <w:r>
        <w:t xml:space="preserve">1. verlangen, einen höheren Betrag an anrechnungsfähigen Eigenmitteln bereitzustellen als zur Einhaltung der Solvabilitätskapitalanforderung erforderlich ist,</w:t>
      </w:r>
    </w:p>
    <w:p>
      <w:pPr>
        <w:ind w:left="420"/>
      </w:pPr>
      <w:r>
        <w:t xml:space="preserve">2. Entnahmen aus den Rücklagen sowie die Ausschüttung von Gewinnen untersagen oder beschränken,</w:t>
      </w:r>
    </w:p>
    <w:p>
      <w:pPr>
        <w:ind w:left="420"/>
      </w:pPr>
      <w:r>
        <w:t xml:space="preserve">3. Maßnahmen untersagen oder beschränken, die dazu dienen, einen Jahresfehlbetrag auszugleichen oder einen Bilanzgewinn auszuweisen.</w:t>
      </w:r>
    </w:p>
    <w:p>
      <w:r>
        <w:rPr>
          <w:color w:val="555555"/>
          <w:sz w:val="17"/>
        </w:rPr>
        <w:t xml:space="preserve">Zitiervorschlag: § 137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137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