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VAG 2016 — Sanierungs- und Finanzierungsplan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Sanierungsplan und Finanzierungsplan umfassen mindestens die folgenden Angaben:</w:t>
      </w:r>
    </w:p>
    <w:p>
      <w:pPr>
        <w:ind w:left="420"/>
      </w:pPr>
      <w:r>
        <w:t xml:space="preserve">1. Schätzungen der Betriebskosten, insbesondere laufende allgemeine Ausgaben und Provisionen,</w:t>
      </w:r>
    </w:p>
    <w:p>
      <w:pPr>
        <w:ind w:left="420"/>
      </w:pPr>
      <w:r>
        <w:t xml:space="preserve">2. die geschätzten Einnahmen und Ausgaben für das Erstversicherungsgeschäft sowie das übernommene und übertragene Rückversicherungsgeschäft,</w:t>
      </w:r>
    </w:p>
    <w:p>
      <w:pPr>
        <w:ind w:left="420"/>
      </w:pPr>
      <w:r>
        <w:t xml:space="preserve">3. eine Prognose der Solvabilitätsübersicht,</w:t>
      </w:r>
    </w:p>
    <w:p>
      <w:pPr>
        <w:ind w:left="420"/>
      </w:pPr>
      <w:r>
        <w:t xml:space="preserve">4. Schätzungen der Finanzmittel, mit denen die versicherungstechnischen Rückstellungen, die Solvabilitätskapitalanforderung und die Mindestkapitalanforderung bedeckt werden sollen, und</w:t>
      </w:r>
    </w:p>
    <w:p>
      <w:pPr>
        <w:ind w:left="420"/>
      </w:pPr>
      <w:r>
        <w:t xml:space="preserve">5. die Rückversicherungspolitik insgesamt.</w:t>
      </w:r>
    </w:p>
    <w:p>
      <w:r>
        <w:t xml:space="preserve">(2) Ist der Aufsichtsbehörde ein Sanierungsplan oder ein Finanzierungsplan vorzulegen, so kann sie eine Bescheinigung nach § 13 Absatz 2 Nummer 1 erst ausstellen, wenn sie der Auffassung ist, dass die Rechte der Versicherungsnehmer nicht mehr gefährdet sind.</w:t>
      </w:r>
    </w:p>
    <w:p>
      <w:r>
        <w:rPr>
          <w:color w:val="555555"/>
          <w:sz w:val="17"/>
        </w:rPr>
        <w:t xml:space="preserve">Zitiervorschlag: § 136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