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135 VAG 2016 — Nichtbedeckung der Mindestkapitalanforderung</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Ist die Mindestkapitalanforderung nicht mehr bedeckt oder droht dieser Fall innerhalb der nächsten drei Monate einzutreten, hat das Versicherungsunternehmen die Aufsichtsbehörde unverzüglich darüber zu unterrichten.</w:t>
      </w:r>
    </w:p>
    <w:p>
      <w:r>
        <w:t xml:space="preserve">(2) Innerhalb eines Monats, nachdem das Versicherungsunternehmen festgestellt hat, dass die Mindestkapitalanforderung nicht bedeckt ist, legt es der Aufsichtsbehörde einen kurzfristigen und realistischen Finanzierungsplan zur Genehmigung vor. Dieser Plan legt dar, wie die anrechnungsfähigen Basiseigenmittel innerhalb von drei Monaten mindestens auf die Höhe des Betrags der Mindestkapitalanforderung aufgestockt werden sollen oder das Risikoprofil so gesenkt werden soll, dass die Mindestkapitalanforderung wieder bedeckt ist.</w:t>
      </w:r>
    </w:p>
    <w:p>
      <w:r>
        <w:t xml:space="preserve">(3) Die Aufsichtsbehörde kann die freie Verfügung über die Vermögenswerte des Versicherungsunternehmens einschränken oder untersagen; § 133 Absatz 3 und § 134 Absatz 8 sind entsprechend anzuwenden.</w:t>
      </w:r>
    </w:p>
    <w:p>
      <w:r>
        <w:rPr>
          <w:color w:val="555555"/>
          <w:sz w:val="17"/>
        </w:rPr>
        <w:t xml:space="preserve">Zitiervorschlag: § 135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https://recht.nulegal.eu/gesetze/VAG%202016/135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