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127 VAG 2016 — Zuführungen zum Sicherungsvermögen</w:t>
      </w:r>
    </w:p>
    <w:p>
      <w:r>
        <w:rPr>
          <w:color w:val="555555"/>
          <w:sz w:val="18"/>
        </w:rPr>
        <w:t xml:space="preserve">Versicherungsaufsichtsgesetz</w:t>
      </w:r>
    </w:p>
    <w:p>
      <w:r>
        <w:rPr>
          <w:color w:val="555555"/>
          <w:sz w:val="18"/>
        </w:rPr>
        <w:t xml:space="preserve">Stand: 10.06.2019 (konsolidierte Textfassung, kein amtliches Inkrafttretensdatum)</w:t>
      </w:r>
    </w:p>
    <w:p>
      <w:r>
        <w:t xml:space="preserve">(1) Erreicht das Sicherungsvermögen nicht den Mindestumfang nach § 125 Absatz 2, hat der Vorstand den fehlenden Betrag unverzüglich dem Sicherungsvermögen zuzuführen. Die Zuführung zum Sicherungsvermögen darf so weit unterbleiben, wie im Ausland zugunsten bestimmter Versicherungen eine besondere Sicherheit aus den eingenommenen Versicherungsentgelten gestellt werden muss.</w:t>
      </w:r>
    </w:p>
    <w:p>
      <w:r>
        <w:t xml:space="preserve">(2) Die Aufsichtsbehörde kann anordnen, dass dem Sicherungsvermögen über den Mindestumfang nach § 125 Absatz 2 hinaus Beträge zugeführt werden, wenn dies zur Wahrung der Belange der Versicherten geboten erscheint. Eine Zuführung kann insbesondere unter Berücksichtigung der niedrigeren Zeitwerte der Vermögensgegenstände des Sicherungsvermögens geboten sein.</w:t>
      </w:r>
    </w:p>
    <w:p>
      <w:r>
        <w:rPr>
          <w:color w:val="555555"/>
          <w:sz w:val="17"/>
        </w:rPr>
        <w:t xml:space="preserve">Zitiervorschlag: § 127 VAG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https://recht.nulegal.eu/gesetze/VAG%202016/127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