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124 VAG 2016 — Anlagegrundsätze</w:t>
      </w:r>
    </w:p>
    <w:p>
      <w:r>
        <w:rPr>
          <w:color w:val="555555"/>
          <w:sz w:val="18"/>
        </w:rPr>
        <w:t xml:space="preserve">Versicherungsaufsichtsgesetz</w:t>
      </w:r>
    </w:p>
    <w:p>
      <w:r>
        <w:rPr>
          <w:color w:val="555555"/>
          <w:sz w:val="18"/>
        </w:rPr>
        <w:t xml:space="preserve">Stand: 10.06.2019 (konsolidierte Textfassung, kein amtliches Inkrafttretensdatum)</w:t>
      </w:r>
    </w:p>
    <w:p>
      <w:r>
        <w:t xml:space="preserve">(1) Versicherungsunternehmen müssen ihre gesamten Vermögenswerte nach dem Grundsatz der unternehmerischen Vorsicht anlegen. Dabei sind folgende Anforderungen einzuhalten:</w:t>
      </w:r>
    </w:p>
    <w:p>
      <w:pPr>
        <w:ind w:left="420"/>
      </w:pPr>
      <w:r>
        <w:t xml:space="preserve">1. Versicherungsunternehmen dürfen ausschließlich in Vermögenswerte und Instrumente investieren, deren Risiken sie</w:t>
      </w:r>
    </w:p>
    <w:p>
      <w:pPr>
        <w:ind w:left="780"/>
      </w:pPr>
      <w:r>
        <w:t xml:space="preserve">a) hinreichend identifizieren, bewerten, überwachen, steuern, kontrollieren und in ihre Berichterstattung einbeziehen können,</w:t>
      </w:r>
    </w:p>
    <w:p>
      <w:pPr>
        <w:ind w:left="780"/>
      </w:pPr>
      <w:r>
        <w:t xml:space="preserve">b) bei der Beurteilung ihres Solvabilitätsbedarfs gemäß § 27 Absatz 2 Nummer 1 hinreichend berücksichtigen können;</w:t>
      </w:r>
    </w:p>
    <w:p>
      <w:pPr>
        <w:ind w:left="420"/>
      </w:pPr>
      <w:r>
        <w:t xml:space="preserve">2. sämtliche Vermögenswerte sind so anzulegen, dass Sicherheit, Qualität, Liquidität und Rentabilität des Portfolios als Ganzes sichergestellt werden; außerdem muss die Belegenheit der Vermögenswerte ihre Verfügbarkeit gewährleisten;</w:t>
      </w:r>
    </w:p>
    <w:p>
      <w:pPr>
        <w:ind w:left="420"/>
      </w:pPr>
      <w:r>
        <w:t xml:space="preserve">3. Vermögenswerte, die zur Bedeckung der versicherungstechnischen Rückstellungen gehalten werden, sind außerdem in einer der Art und Laufzeit der Erstversicherungs- und Rückverbindlichkeiten des Unternehmens angemessenen Weise anzulegen; diese Vermögenswerte sind im Interesse aller Versicherungsnehmer und Anspruchsberechtigten unter Berücksichtigung der Anlagepolitik anzulegen, sofern diese offengelegt worden ist;</w:t>
      </w:r>
    </w:p>
    <w:p>
      <w:pPr>
        <w:ind w:left="420"/>
      </w:pPr>
      <w:r>
        <w:t xml:space="preserve">4. im Fall eines Interessenkonflikts muss sichergestellt werden, dass die Anlage im Interesse der Versicherungsnehmer und Anspruchsberechtigten erfolgt;</w:t>
      </w:r>
    </w:p>
    <w:p>
      <w:pPr>
        <w:ind w:left="420"/>
      </w:pPr>
      <w:r>
        <w:t xml:space="preserve">5. die Verwendung derivativer Finanzinstrumente ist nur zulässig, sofern diese zur Verringerung von Risiken oder zur Erleichterung einer effizienten Portfolioverwaltung beitragen; diese Voraussetzung wird nicht erfüllt durch Geschäfte mit derivativen Finanzinstrumenten, die lediglich den Aufbau reiner Handelspositionen (Arbitragegeschäfte) bezwecken oder bei denen entsprechende Wertpapierbestände nicht vorhanden sind (Leerverkäufe);</w:t>
      </w:r>
    </w:p>
    <w:p>
      <w:pPr>
        <w:ind w:left="420"/>
      </w:pPr>
      <w:r>
        <w:t xml:space="preserve">6. Anlagen und Vermögenswerte, die nicht zum Handel an einem geregelten Finanzmarkt zugelassen sind, sind auf einem vorsichtigen Niveau zu halten;</w:t>
      </w:r>
    </w:p>
    <w:p>
      <w:pPr>
        <w:ind w:left="420"/>
      </w:pPr>
      <w:r>
        <w:t xml:space="preserve">7. Anlagen sind in angemessener Weise so zu mischen und zu streuen, dass eine übermäßige Abhängigkeit von einem bestimmten Vermögenswert oder Emittenten oder von einer bestimmten Unternehmensgruppe oder einem geographischen Raum und eine übermäßige Risikokonzentration im Portfolio als Ganzem vermieden werden und</w:t>
      </w:r>
    </w:p>
    <w:p>
      <w:pPr>
        <w:ind w:left="420"/>
      </w:pPr>
      <w:r>
        <w:t xml:space="preserve">8. Vermögensanlagen bei demselben Emittenten oder bei Emittenten, die derselben Unternehmensgruppe angehören, dürfen nicht zu einer übermäßigen Risikokonzentration führen.</w:t>
      </w:r>
    </w:p>
    <w:p>
      <w:r>
        <w:t xml:space="preserve">(2) Absatz 1 Nummer 5 bis 8 findet auf Lebensversicherungsverträge, bei denen das Anlagerisiko vom Versicherungsnehmer getragen wird, vorbehaltlich Satz 2 Nummer 3 keine Anwendung. Über Absatz 1 Nummer 1 bis 4 hinaus sind bei diesen Verträgen für die betroffenen Vermögenswerte,</w:t>
      </w:r>
    </w:p>
    <w:p>
      <w:pPr>
        <w:ind w:left="420"/>
      </w:pPr>
      <w:r>
        <w:t xml:space="preserve">1. wenn die Leistungen aus einem Vertrag direkt an den Wert von Anteilen an Organismen für gemeinschaftliche Anlagen in Wertpapieren im Sinne der Richtlinie 2009/65/EG oder an den Wert von Vermögenswerten gebunden sind, die in einem von den Versicherungsunternehmen gehaltenen und in der Regel in Anteile aufgeteilten internen Fonds enthalten sind, die versicherungstechnischen Rückstellungen für diese Leistungen so genau wie möglich durch die betreffenden Anteile oder, sofern keine Anteile gebildet wurden, durch die betreffenden Vermögenswerte abzubilden;</w:t>
      </w:r>
    </w:p>
    <w:p>
      <w:pPr>
        <w:ind w:left="420"/>
      </w:pPr>
      <w:r>
        <w:t xml:space="preserve">2. wenn die Leistungen aus einem Vertrag direkt an einen Aktienindex oder an einen anderen als den in Nummer 1 genannten Referenzwert gebunden sind, die versicherungstechnischen Rückstellungen für diese Leistungen so genau wie möglich durch die Anteile, die den Referenzwert darstellen, abzubilden; sofern keine Anteile gebildet werden, sind die Rückstellungen durch Vermögenswerte mit angemessener Sicherheit und Realisierbarkeit abzubilden, die so genau wie möglich denjenigen Werten entsprechen, auf denen der jeweilige Referenzwert beruht und</w:t>
      </w:r>
    </w:p>
    <w:p>
      <w:pPr>
        <w:ind w:left="420"/>
      </w:pPr>
      <w:r>
        <w:t xml:space="preserve">3. wenn die in den Nummern 1 und 2 genannten Leistungen eine Garantie in Bezug auf das Anlageergebnis oder eine sonstige garantierte Leistung einschließen, auf die zur Bedeckung der entsprechenden zusätzlichen versicherungstechnischen Rückstellungen gehaltenen Vermögenswerte Absatz 1 Nummer 5 bis 8 anzuwenden.</w:t>
      </w:r>
    </w:p>
    <w:p>
      <w:r>
        <w:t xml:space="preserve">(3) Gehören Versicherungsverhältnisse zu einem selbständigen Bestand eines Versicherungsunternehmens in einem Staat außerhalb der Mitglied- oder Vertragsstaaten, sind die Absätze 1 und 2 anzuwenden, soweit nicht ausländisches Recht Abweichendes vorschreibt.</w:t>
      </w:r>
    </w:p>
    <w:p>
      <w:r>
        <w:rPr>
          <w:color w:val="555555"/>
          <w:sz w:val="17"/>
        </w:rPr>
        <w:t xml:space="preserve">Zitiervorschlag: § 124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https://recht.nulegal.eu/gesetze/VAG%202016/124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