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VAG 2016 — Berechnungsturnus; Meldepflichten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Versicherungsunternehmen haben die Mindestkapitalanforderung vierteljährlich zu berechnen und das Berechnungsergebnis der Aufsichtsbehörde zu melden. Für Zwecke der Bestimmung der Grenzwerte der Mindestkapitalanforderung ist keine vierteljährliche Berechnung der Solvabilitätskapitalanforderung erforderlich.</w:t>
      </w:r>
    </w:p>
    <w:p>
      <w:r>
        <w:t xml:space="preserve">(2) Bestimmt einer der in Artikel 129 Absatz 3 der Richtlinie 2009/138/EG genannten Grenzwerte die Mindestkapitalanforderung eines Versicherungsunternehmens, hat dieses der Aufsichtsbehörde die Gründe dafür zu erläutern.</w:t>
      </w:r>
    </w:p>
    <w:p>
      <w:r>
        <w:rPr>
          <w:color w:val="555555"/>
          <w:sz w:val="17"/>
        </w:rPr>
        <w:t xml:space="preserve">Zitiervorschlag: § 123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