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122 VAG 2016 — Bestimmung der Mindestkapitalanforderung; Verordnungsermächtigung</w:t>
      </w:r>
    </w:p>
    <w:p>
      <w:r>
        <w:rPr>
          <w:color w:val="555555"/>
          <w:sz w:val="18"/>
        </w:rPr>
        <w:t xml:space="preserve">Versicherungsaufsichtsgesetz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Mindestkapitalanforderung entspricht dem Betrag anrechnungsfähiger Basiseigenmittel, unterhalb dessen die Versicherungsnehmer und Anspruchsberechtigten bei einer Fortführung der Geschäftstätigkeit des Versicherungsunternehmens einem unannehmbaren Risikoniveau ausgesetzt sind.</w:t>
      </w:r>
    </w:p>
    <w:p>
      <w:r>
        <w:t xml:space="preserve">(2) Das Bundesministerium der Finanzen wird ermächtigt, durch Rechtsverordnung die Höhe der in Absatz 1 genannten Mindestkapitalanforderung festzulegen; dabei sind Artikel 129 Absatz 1 bis 3 der Richtlinie 2009/138/EG, delegierte Rechtsakte der Europäischen Kommission gemäß Artikel 130 der Richtlinie 2009/138/EG und Veröffentlichungen der Europäischen Kommission gemäß Artikel 300 der Richtlinie 2009/138/EG zu beachten. Die Ermächtigung kann durch Rechtsverordnung auf die Bundesanstalt übertragen werden. Rechtsverordnungen nach den Sätzen 1 und 2 bedürfen nicht der Zustimmung des Bundesrates.</w:t>
      </w:r>
    </w:p>
    <w:p>
      <w:r>
        <w:rPr>
          <w:color w:val="555555"/>
          <w:sz w:val="17"/>
        </w:rPr>
        <w:t xml:space="preserve">Zitiervorschlag: § 122 VAG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https://recht.nulegal.eu/gesetze/VAG%202016/122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