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118 VAG 2016 — Kalibrierungsstandards</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Versicherungsunternehmen können abweichend von § 97 Absatz 2 im internen Modell einen anderen Zeitraum oder ein anderes Risikomaß verwenden, wenn sichergestellt ist, dass die Ergebnisse des internen Modells in einer Art und Weise zur Berechnung der Solvabilitätskapitalanforderung verwendet werden, die den Versicherten ein dem § 97 gleichwertiges Schutzniveau gewährt.</w:t>
      </w:r>
    </w:p>
    <w:p>
      <w:r>
        <w:t xml:space="preserve">(2) Sofern es in der Praxis möglich ist, haben Versicherungsunternehmen die Solvabilitätskapitalanforderung direkt aus der Wahrscheinlichkeitsverteilungsprognose abzuleiten, die durch das interne Modell generiert wird. Das Risikomaß Value-at-Risk gemäß § 97 ist zu verwenden.</w:t>
      </w:r>
    </w:p>
    <w:p>
      <w:r>
        <w:t xml:space="preserve">(3) Die Aufsichtsbehörde kann Annäherungen für die Berechnung der Solvabilitätskapitalanforderung zulassen, wenn die Solvabilitätskapitalanforderung nicht direkt aus der durch das interne Modell generierten Wahrscheinlichkeitsverteilungsprognose abgeleitet werden kann und die Versicherungsunternehmen der Aufsichtsbehörde nachweisen, dass den Versicherungsnehmern ein Schutzniveau entsprechend § 97 Absatz 2 gewährt wird.</w:t>
      </w:r>
    </w:p>
    <w:p>
      <w:r>
        <w:t xml:space="preserve">(4) Auf Verlangen der Aufsichtsbehörde ist das interne Modell auf einschlägige Benchmark-Portfolios anzuwenden. Dabei ist auf Verlangen der Aufsichtsbehörde von Annahmen auszugehen, die sich im Wesentlichen auf externe Daten stützen, um die Kalibrierung des internen Modells zu überprüfen und zu ermitteln, ob seine Spezifizierung der allgemein anerkannten Marktpraxis entspricht.</w:t>
      </w:r>
    </w:p>
    <w:p>
      <w:r>
        <w:rPr>
          <w:color w:val="555555"/>
          <w:sz w:val="17"/>
        </w:rPr>
        <w:t xml:space="preserve">Zitiervorschlag: § 118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