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VAG 2016 — Verwendungstest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interne Modell muss in erheblichem Maße zur Unternehmenssteuerung verwendet werden und in der Geschäftsorganisation eine wichtige Rolle spielen, insbesondere</w:t>
      </w:r>
    </w:p>
    <w:p>
      <w:pPr>
        <w:ind w:left="420"/>
      </w:pPr>
      <w:r>
        <w:t xml:space="preserve">1. im Risikomanagementsystem gemäß § 26 und in den Entscheidungsprozessen sowie</w:t>
      </w:r>
    </w:p>
    <w:p>
      <w:pPr>
        <w:ind w:left="420"/>
      </w:pPr>
      <w:r>
        <w:t xml:space="preserve">2. in der Beurteilung des ökonomischen Kapitals und Solvabilitätskapitals sowie in den Allokationsprozessen, einschließlich der Beurteilung gemäß § 27.</w:t>
      </w:r>
    </w:p>
    <w:p>
      <w:r>
        <w:t xml:space="preserve">(2) Die Häufigkeit der Berechnung der Solvabilitätskapitalanforderung unter Verwendung des internen Modells muss mit der Häufigkeit konsistent sein, mit der das interne Modell für die nach Absatz 1 genannten Zwecke genutzt wird.</w:t>
      </w:r>
    </w:p>
    <w:p>
      <w:r>
        <w:t xml:space="preserve">(3) Das Versicherungsunternehmen trifft die Beweislast dafür, dass die Anforderungen der Absätze 1 und 2 erfüllt sind.</w:t>
      </w:r>
    </w:p>
    <w:p>
      <w:r>
        <w:rPr>
          <w:color w:val="555555"/>
          <w:sz w:val="17"/>
        </w:rPr>
        <w:t xml:space="preserve">Zitiervorschlag: § 115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