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VAG 2016 — Interne Modelle in Form von Partialmodellen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Interne Modelle in Form von Partialmodellen werden genehmigt für die Berechnung</w:t>
      </w:r>
    </w:p>
    <w:p>
      <w:pPr>
        <w:ind w:left="420"/>
      </w:pPr>
      <w:r>
        <w:t xml:space="preserve">1. eines oder mehrerer Risikomodule oder Untermodule der Basissolvabilitätskapitalanforderung gemäß den §§ 101 bis 106,</w:t>
      </w:r>
    </w:p>
    <w:p>
      <w:pPr>
        <w:ind w:left="420"/>
      </w:pPr>
      <w:r>
        <w:t xml:space="preserve">2. der Kapitalanforderung für das operationelle Risiko gemäß § 107 und</w:t>
      </w:r>
    </w:p>
    <w:p>
      <w:pPr>
        <w:ind w:left="420"/>
      </w:pPr>
      <w:r>
        <w:t xml:space="preserve">3. der Anpassung gemäß § 108.</w:t>
      </w:r>
    </w:p>
    <w:p>
      <w:r>
        <w:t xml:space="preserve">Partialmodelle können für die gesamte Geschäftstätigkeit oder nur für einen oder mehrere Hauptgeschäftsbereiche angewendet werden.</w:t>
      </w:r>
    </w:p>
    <w:p>
      <w:r>
        <w:t xml:space="preserve">(2) Die §§ 115 bis 121 sind entsprechend anzuwenden; dem begrenzten Anwendungsbereich des Modells ist Rechnung zu tragen. Darüber hinaus muss</w:t>
      </w:r>
    </w:p>
    <w:p>
      <w:pPr>
        <w:ind w:left="420"/>
      </w:pPr>
      <w:r>
        <w:t xml:space="preserve">1. die sich aus dem Modell ergebende Solvabilitätskapitalanforderung dem Risikoprofil des Versicherungsunternehmens besser Rechnung tragen als die nach der Standardformel berechnete Solvabilitätskapitalanforderung und</w:t>
      </w:r>
    </w:p>
    <w:p>
      <w:pPr>
        <w:ind w:left="420"/>
      </w:pPr>
      <w:r>
        <w:t xml:space="preserve">2. das Modell</w:t>
      </w:r>
    </w:p>
    <w:p>
      <w:pPr>
        <w:ind w:left="780"/>
      </w:pPr>
      <w:r>
        <w:t xml:space="preserve">a) den Grundsätzen der §§ 96 bis 98 entsprechen sowie</w:t>
      </w:r>
    </w:p>
    <w:p>
      <w:pPr>
        <w:ind w:left="780"/>
      </w:pPr>
      <w:r>
        <w:t xml:space="preserve">b) vollständig in die Standardformel für die Solvabilitätskapitalanforderung integrierbar und in seinem Aufbau mit den §§ 96 bis 98 konsistent sein.</w:t>
      </w:r>
    </w:p>
    <w:p>
      <w:r>
        <w:t xml:space="preserve">(3) Das Versicherungsunternehmen muss in angemessenem Umfang begründen, dass der begrenzte Anwendungsbereich des Modells gerechtfertigt ist.</w:t>
      </w:r>
    </w:p>
    <w:p>
      <w:r>
        <w:t xml:space="preserve">(4) Deckt das Partialmodell nur bestimmte Untermodule eines Risikomoduls oder einige Geschäftsbereiche eines Versicherungsunternehmens in Bezug auf ein spezielles Risikomodul oder Teile von beiden ab, kann die Aufsichtsbehörde die Ausdehnung des Anwendungsbereichs des Modells auf weitere Untermodule oder Geschäftsbereiche eines Risikomoduls im Wege eines Übergangsplans verlangen, bis der überwiegende Teil der Versicherungsgeschäfte in Bezug auf dieses Risikomodul abgedeckt ist.</w:t>
      </w:r>
    </w:p>
    <w:p>
      <w:r>
        <w:rPr>
          <w:color w:val="555555"/>
          <w:sz w:val="17"/>
        </w:rPr>
        <w:t xml:space="preserve">Zitiervorschlag: § 112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