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VAG 2016 — Abweichungen von der Standardformel</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Versicherungsunternehmen können eine vereinfachte Berechnung für ein Untermodul oder Risikomodul verwenden, wenn Art, Umfang und Komplexität der Risiken dies rechtfertigen und es unverhältnismäßig ist, von dem Versicherungsunternehmen insoweit die Anwendung der Standardberechnung zu verlangen. Die vereinfachten Berechnungen müssen gemäß § 97 Absatz 2 kalibriert werden.</w:t>
      </w:r>
    </w:p>
    <w:p>
      <w:r>
        <w:t xml:space="preserve">(2) Mit Genehmigung der Aufsichtsbehörde können Versicherungsunternehmen bei der Berechnung der versicherungstechnischen Module eine Untergruppe von Parametern durch unternehmensspezifische Parameter ersetzen. Derartige Parameter werden auf der Grundlage interner Daten des Unternehmens oder auf der Grundlage von Daten, die direkt für die Geschäfte dieses Unternehmens relevant sind, unter Verwendung standardisierter Methoden kalibriert. Die verwendeten Daten müssen genau, vollständig und angemessen sein.</w:t>
      </w:r>
    </w:p>
    <w:p>
      <w:r>
        <w:rPr>
          <w:color w:val="555555"/>
          <w:sz w:val="17"/>
        </w:rPr>
        <w:t xml:space="preserve">Zitiervorschlag: § 109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