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VAG 2016 — Anpassung für die Verlustausgleichsfähigkeit der versicherungstechnischen Rückstellungen und latenten Steuern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in § 99 Nummer 3 genannte Anpassung für die Verlustausgleichsfähigkeit der versicherungstechnischen Rückstellungen und latenten Steuern berücksichtigt den möglichen Ausgleich unerwarteter Verluste durch eine gleichzeitige Verringerung der versicherungstechnischen Rückstellungen, der latenten Steuern oder eine Kombination von beidem.</w:t>
      </w:r>
    </w:p>
    <w:p>
      <w:r>
        <w:t xml:space="preserve">(2) Diese Anpassung berücksichtigt den risikomindernden Effekt, den künftige Überschussbeteiligungen aus Versicherungsverträgen erzeugen, in dem Maße, wie Versicherungsunternehmen nachweisen können, dass eine Reduzierung dieser Überschussbeteiligungen zum Ausgleich unerwarteter Verluste verwendet werden kann. Der durch künftige Überschussbeteiligungen erzeugte risikomindernde Effekt darf nicht höher sein als die Summe aus versicherungstechnischen Rückstellungen und latenten Steuern, die mit diesen künftigen Überschussbeteiligungen in Verbindung stehen.</w:t>
      </w:r>
    </w:p>
    <w:p>
      <w:r>
        <w:t xml:space="preserve">(3) Für die Zwecke des Absatzes 2 wird der Wert der künftigen Überschussbeteiligungen unter ungünstigen Umständen mit dem Wert der Überschussbeteiligungen gemäß den Basisannahmen für die Berechnung des besten Schätzwerts verglichen.</w:t>
      </w:r>
    </w:p>
    <w:p>
      <w:r>
        <w:rPr>
          <w:color w:val="555555"/>
          <w:sz w:val="17"/>
        </w:rPr>
        <w:t xml:space="preserve">Zitiervorschlag: § 108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