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106 VAG 2016 — Aktienrisikountermodul</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Das Aktienrisikountermodul schließt eine symmetrische Anpassung des Faktors im Szenario für Aktienanlagen ein, der das Risiko aus Veränderungen des Aktienkursniveaus erfasst.</w:t>
      </w:r>
    </w:p>
    <w:p>
      <w:r>
        <w:t xml:space="preserve">(2) Die Anpassung der gemäß § 100 Absatz 3 kalibrierten Standardkapitalanforderung für Aktienanlagen wird als Funktion der aktuellen Höhe eines geeigneten Aktienindexes und eines gewichteten Durchschnitts dieses Indexes berechnet. Der gewichtete Durchschnitt wird über einen angemessenen Zeitraum ermittelt, der für alle Versicherungsunternehmen gleich ist.</w:t>
      </w:r>
    </w:p>
    <w:p>
      <w:r>
        <w:t xml:space="preserve">(3) Die Anpassung darf nicht zu einem Faktor im Szenario für Aktienanlagen führen, der mehr als 10 Prozentpunkte über oder unter dem Standardfaktor für Aktienanlagen liegt.</w:t>
      </w:r>
    </w:p>
    <w:p>
      <w:r>
        <w:rPr>
          <w:color w:val="555555"/>
          <w:sz w:val="17"/>
        </w:rPr>
        <w:t xml:space="preserve">Zitiervorschlag: § 106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https://recht.nulegal.eu/gesetze/VAG%202016/106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