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 VAG 2016 — Gegenparteiausfallrisikomodul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Gegenparteiausfallrisikomodul trägt möglichen Verlusten Rechnung, die sich aus einem unerwarteten Ausfall oder der Verschlechterung der Bonität von Gegenparteien und Schuldnern des Versicherungsunternehmens während der nächsten zwölf Monate ergeben.</w:t>
      </w:r>
    </w:p>
    <w:p>
      <w:r>
        <w:t xml:space="preserve">(2) Das Gegenparteiausfallrisikomodul umfasst</w:t>
      </w:r>
    </w:p>
    <w:p>
      <w:pPr>
        <w:ind w:left="420"/>
      </w:pPr>
      <w:r>
        <w:t xml:space="preserve">1. Verträge zur Risikominderung wie Rückversicherungsvereinbarungen, Verbriefungen und Derivate,</w:t>
      </w:r>
    </w:p>
    <w:p>
      <w:pPr>
        <w:ind w:left="420"/>
      </w:pPr>
      <w:r>
        <w:t xml:space="preserve">2. Forderungen gegenüber Vermittlern und</w:t>
      </w:r>
    </w:p>
    <w:p>
      <w:pPr>
        <w:ind w:left="420"/>
      </w:pPr>
      <w:r>
        <w:t xml:space="preserve">3. alle sonstigen Kreditrisiken, die nicht vom Spread-Risiko gemäß § 104 Absatz 2 Satz 1 Nummer 4 abgedeckt werden.</w:t>
      </w:r>
    </w:p>
    <w:p>
      <w:r>
        <w:t xml:space="preserve">Das Gegenparteiausfallrisikomodul berücksichtigt in angemessener Weise akzessorische und sonstige Sicherheiten zugunsten der Versicherungsunternehmen, einschließlich der mit diesen Sicherheiten verbundenen Risiken.</w:t>
      </w:r>
    </w:p>
    <w:p>
      <w:r>
        <w:t xml:space="preserve">(3) Das Gegenparteiausfallrisikomodul berücksichtigt für jede Gegenpartei die Gesamtrisikoexponierung des Versicherungsunternehmens in Bezug auf diese Gegenpartei unabhängig von der rechtlichen Ausgestaltung der vertraglichen Verpflichtungen gegenüber der Gegenpartei.</w:t>
      </w:r>
    </w:p>
    <w:p>
      <w:r>
        <w:rPr>
          <w:color w:val="555555"/>
          <w:sz w:val="17"/>
        </w:rPr>
        <w:t xml:space="preserve">Zitiervorschlag: § 105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https://recht.nulegal.eu/gesetze/VAG%202016/105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