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103 VAG 2016 — Krankenversicherungstechnisches Risikomodul</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Das krankenversicherungstechnische Risikomodul gibt das sich aus Krankenversicherungsverpflichtungen ergebende Risiko in Bezug auf die abgedeckten Risiken und verwendeten Prozesse bei der Ausübung des Geschäfts wieder. Dies gilt unabhängig davon, ob die Krankenversicherung nach Art der Lebensversicherung betrieben wird.</w:t>
      </w:r>
    </w:p>
    <w:p>
      <w:r>
        <w:t xml:space="preserve">(2) Das krankenversicherungstechnische Risikomodul umfasst mindestens das Risiko eines Verlusts oder einer nachteiligen Veränderung des Wertes der Versicherungsverbindlichkeiten, das sich ergibt aus</w:t>
      </w:r>
    </w:p>
    <w:p>
      <w:pPr>
        <w:ind w:left="420"/>
      </w:pPr>
      <w:r>
        <w:t xml:space="preserve">1. Veränderungen in der Höhe, im Trend oder in der Volatilität der bei der Bedienung von Versicherungsverträgen angefallenen Kosten,</w:t>
      </w:r>
    </w:p>
    <w:p>
      <w:pPr>
        <w:ind w:left="420"/>
      </w:pPr>
      <w:r>
        <w:t xml:space="preserve">2. Schwankungen in Bezug auf das Eintreten, die Häufigkeit und die Schwere der versicherten Ereignisse sowie in Bezug auf die Dauer und den Betrag der Regulierungen zum Zeitpunkt der Bildung der versicherungstechnischen Rückstellungen und</w:t>
      </w:r>
    </w:p>
    <w:p>
      <w:pPr>
        <w:ind w:left="420"/>
      </w:pPr>
      <w:r>
        <w:t xml:space="preserve">3. einer wesentlichen Ungewissheit der Annahmen in Bezug auf die Preisfestlegung und die Bildung versicherungstechnischer Rückstellungen im Hinblick auf den Ausbruch größerer Epidemien sowie der ungewöhnlichen Häufung der unter diesen extremen Umständen auftretenden Risiken.</w:t>
      </w:r>
    </w:p>
    <w:p>
      <w:r>
        <w:rPr>
          <w:color w:val="555555"/>
          <w:sz w:val="17"/>
        </w:rPr>
        <w:t xml:space="preserve">Zitiervorschlag: § 103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https://recht.nulegal.eu/gesetze/VAG%202016/103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