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102 VAG 2016 — Lebensversicherungstechnisches Risikomodul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lebensversicherungstechnische Risikomodul gibt das sich aus Lebensversicherungsverpflichtungen ergebende Risiko in Bezug auf die abgedeckten Risiken und die verwendeten Prozesse bei der Ausübung des Geschäfts wieder.</w:t>
      </w:r>
    </w:p>
    <w:p>
      <w:r>
        <w:t xml:space="preserve">(2) Das lebensversicherungstechnische Risikomodul wird gemäß der Anlage 3 berechnet als eine Kombination der Kapitalanforderungen für mindestens dasjenige Risiko eines Verlusts oder einer nachteiligen Veränderung des Wertes der Versicherungsverbindlichkeiten, das sich ergibt aus:</w:t>
      </w:r>
    </w:p>
    <w:p>
      <w:pPr>
        <w:ind w:left="420"/>
      </w:pPr>
      <w:r>
        <w:t xml:space="preserve">1. Veränderungen in der Höhe, im Trend oder in der Volatilität der Sterblichkeitsraten, wenn der Anstieg der Sterblichkeitsrate zu einem Anstieg des Wertes der Versicherungsverbindlichkeiten führt (Sterblichkeitsrisiko),</w:t>
      </w:r>
    </w:p>
    <w:p>
      <w:pPr>
        <w:ind w:left="420"/>
      </w:pPr>
      <w:r>
        <w:t xml:space="preserve">2. Veränderungen in der Höhe, im Trend oder in der Volatilität der Sterblichkeitsraten, wenn der Rückgang der Sterblichkeitsrate zu einem Anstieg des Wertes der Versicherungsverbindlichkeiten führt (Langlebigkeitsrisiko),</w:t>
      </w:r>
    </w:p>
    <w:p>
      <w:pPr>
        <w:ind w:left="420"/>
      </w:pPr>
      <w:r>
        <w:t xml:space="preserve">3. Veränderungen in der Höhe, im Trend oder in der Volatilität der Invaliditäts-, Krankheits- und Morbiditätsraten (Invaliditäts-, Morbiditätsrisiko),</w:t>
      </w:r>
    </w:p>
    <w:p>
      <w:pPr>
        <w:ind w:left="420"/>
      </w:pPr>
      <w:r>
        <w:t xml:space="preserve">4. Veränderungen in der Höhe, im Trend oder in der Volatilität der bei der Verwaltung von Versicherungsverträgen anfallenden Kosten (Lebensversicherungskostenrisiko),</w:t>
      </w:r>
    </w:p>
    <w:p>
      <w:pPr>
        <w:ind w:left="420"/>
      </w:pPr>
      <w:r>
        <w:t xml:space="preserve">5. Veränderungen in der Höhe, im Trend oder in der Volatilität der Revisionsraten für Rentenversicherungen auf Grund von Rechtsänderungen oder der gesundheitlichen Verfassung des Versicherten (Revisionsrisiko),</w:t>
      </w:r>
    </w:p>
    <w:p>
      <w:pPr>
        <w:ind w:left="420"/>
      </w:pPr>
      <w:r>
        <w:t xml:space="preserve">6. Veränderungen in der Höhe oder in der Volatilität der Storno-, Kündigungs-, Verlängerungs- und Rückkaufsraten von Versicherungspolicen (Stornorisiko) und</w:t>
      </w:r>
    </w:p>
    <w:p>
      <w:pPr>
        <w:ind w:left="420"/>
      </w:pPr>
      <w:r>
        <w:t xml:space="preserve">7. einer wesentlichen Ungewissheit in Bezug auf die Annahmen über extreme oder außergewöhnliche Ereignisse bei der Preisfestlegung und bei der Bildung versicherungstechnischer Rückstellungen (Lebensversicherungskatastrophenrisiko).</w:t>
      </w:r>
    </w:p>
    <w:p>
      <w:r>
        <w:rPr>
          <w:color w:val="555555"/>
          <w:sz w:val="17"/>
        </w:rPr>
        <w:t xml:space="preserve">Zitiervorschlag: § 102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https://recht.nulegal.eu/gesetze/VAG%202016/102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