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101 VAG 2016 — Nichtlebensversicherungstechnisches Risikomodul</w:t>
      </w:r>
    </w:p>
    <w:p>
      <w:r>
        <w:rPr>
          <w:color w:val="555555"/>
          <w:sz w:val="18"/>
        </w:rPr>
        <w:t xml:space="preserve">Versicherungsaufsichtsgesetz</w:t>
      </w:r>
    </w:p>
    <w:p>
      <w:r>
        <w:rPr>
          <w:color w:val="555555"/>
          <w:sz w:val="18"/>
        </w:rPr>
        <w:t xml:space="preserve">Stand: 10.06.2019 (konsolidierte Textfassung, kein amtliches Inkrafttretensdatum)</w:t>
      </w:r>
    </w:p>
    <w:p>
      <w:r>
        <w:t xml:space="preserve">(1) Das nichtlebensversicherungstechnische Risikomodul gibt das sich aus Nichtlebensversicherungsverpflichtungen ergebende Risiko in Bezug auf die abgedeckten Risiken und die verwendeten Prozesse bei der Ausübung des Geschäfts wieder. Das Risikomodul hat die Ungewissheit der Ergebnisse der Versicherungsunternehmen im Hinblick auf die bestehenden Versicherungsverpflichtungen und auf die in den folgenden zwölf Monaten erwarteten neuen Geschäfte zu berücksichtigen.</w:t>
      </w:r>
    </w:p>
    <w:p>
      <w:r>
        <w:t xml:space="preserve">(2) Das nichtlebensversicherungstechnische Risikomodul wird gemäß der Anlage 3 berechnet als eine Kombination der Kapitalanforderungen für mindestens dasjenige Risiko eines Verlusts oder einer nachteiligen Veränderung des Wertes der Versicherungsverbindlichkeiten, das sich ergibt aus:</w:t>
      </w:r>
    </w:p>
    <w:p>
      <w:pPr>
        <w:ind w:left="420"/>
      </w:pPr>
      <w:r>
        <w:t xml:space="preserve">1. Schwankungen in Bezug auf das Eintreten, die Häufigkeit und die Schwere der versicherten Ereignisse und in Bezug auf die Dauer und den Betrag der Schadenabwicklung (Nichtlebensversicherungsprämienrisiko und -reserverisiko) sowie</w:t>
      </w:r>
    </w:p>
    <w:p>
      <w:pPr>
        <w:ind w:left="420"/>
      </w:pPr>
      <w:r>
        <w:t xml:space="preserve">2. einer wesentlichen Ungewissheit in Bezug auf die Preisfestlegung und die Annahmen bei der Bildung der versicherungstechnischen Rückstellungen für extreme oder außergewöhnliche Ereignisse (Nichtlebenskatastrophenrisiko).</w:t>
      </w:r>
    </w:p>
    <w:p>
      <w:r>
        <w:rPr>
          <w:color w:val="555555"/>
          <w:sz w:val="17"/>
        </w:rPr>
        <w:t xml:space="preserve">Zitiervorschlag: § 101 VAG 2016</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https://recht.nulegal.eu/gesetze/VAG%202016/101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