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VAG 2016 — Aufbau der Basissolvabilitätskapitalanforderung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Basissolvabilitätskapitalanforderung umfasst einzelne Risikomodule, die gemäß der Anlage 3 aggregiert werden. Sie umfasst mindestens die folgenden Risikomodule:</w:t>
      </w:r>
    </w:p>
    <w:p>
      <w:pPr>
        <w:ind w:left="420"/>
      </w:pPr>
      <w:r>
        <w:t xml:space="preserve">1. das nichtlebensversicherungstechnische Risiko,</w:t>
      </w:r>
    </w:p>
    <w:p>
      <w:pPr>
        <w:ind w:left="420"/>
      </w:pPr>
      <w:r>
        <w:t xml:space="preserve">2. das lebensversicherungstechnische Risiko,</w:t>
      </w:r>
    </w:p>
    <w:p>
      <w:pPr>
        <w:ind w:left="420"/>
      </w:pPr>
      <w:r>
        <w:t xml:space="preserve">3. das krankenversicherungstechnische Risiko,</w:t>
      </w:r>
    </w:p>
    <w:p>
      <w:pPr>
        <w:ind w:left="420"/>
      </w:pPr>
      <w:r>
        <w:t xml:space="preserve">4. das Marktrisiko und</w:t>
      </w:r>
    </w:p>
    <w:p>
      <w:pPr>
        <w:ind w:left="420"/>
      </w:pPr>
      <w:r>
        <w:t xml:space="preserve">5. das Gegenparteiausfallrisiko.</w:t>
      </w:r>
    </w:p>
    <w:p>
      <w:r>
        <w:t xml:space="preserve">Versicherungsgeschäfte sind demjenigen versicherungstechnischen Risikomodul zuzuweisen, das der technischen Wesensart der zugrunde liegenden Risiken am besten entspricht.</w:t>
      </w:r>
    </w:p>
    <w:p>
      <w:r>
        <w:t xml:space="preserve">(2) Die Korrelationskoeffizienten für die Aggregation der in Absatz 1 genannten Risikomodule und die Kalibrierung der Kapitalanforderungen für jedes Risikomodul müssen zu einer Gesamtsolvabilitätskapitalanforderung führen, die den in § 97 genannten Prinzipien genügt.</w:t>
      </w:r>
    </w:p>
    <w:p>
      <w:r>
        <w:t xml:space="preserve">(3) Jedes der in Absatz 1 genannten Risikomodule wird unter Verwendung des Risikomaßes Value-at-Risk zu dem Konfidenzniveau von 99,5 Prozent über den Zeitraum von einem Jahr kalibriert. Gegebenenfalls sind Diversifikationseffekte beim Aufbau der Risikomodule zu berücksichtigen.</w:t>
      </w:r>
    </w:p>
    <w:p>
      <w:r>
        <w:t xml:space="preserve">(4) Der Aufbau und die Spezifikationen für die Risikomodule müssen für alle Versicherungsunternehmen sowohl im Hinblick auf die Basissolvabilitätskapitalanforderung als auch im Hinblick auf Berechnungsvereinfachungen gemäß § 109 Absatz 1 gleich sein.</w:t>
      </w:r>
    </w:p>
    <w:p>
      <w:r>
        <w:t xml:space="preserve">(5) Im Hinblick auf Risiken, die aus Katastrophen herrühren, können geographische Besonderheiten bei der Berechnung der lebensversicherungstechnischen, nichtlebensversicherungstechnischen und krankenversicherungstechnischen Module zugrunde gelegt werden.</w:t>
      </w:r>
    </w:p>
    <w:p>
      <w:r>
        <w:rPr>
          <w:color w:val="555555"/>
          <w:sz w:val="17"/>
        </w:rPr>
        <w:t xml:space="preserve">Zitiervorschlag: § 100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