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VAFreistV</w:t>
      </w:r>
    </w:p>
    <w:p>
      <w:r>
        <w:rPr>
          <w:color w:val="555555"/>
          <w:sz w:val="18"/>
        </w:rPr>
        <w:t xml:space="preserve">Verordnung zur Freistellung von Versicherungsunternehmen von der Aufsicht nach dem Versicherungsaufsichtsgesetz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gilt nach § 14 des Dritten Überleitungsgesetzes in Verbindung mit Artikel 4 des Vierzehnten Gesetzes zur Änderung des Versicherungsaufsichtsgesetzes vom 29. März 1983 (BGBl. I S. 377) auch im Land Berlin.</w:t>
      </w:r>
    </w:p>
    <w:p>
      <w:r>
        <w:rPr>
          <w:color w:val="555555"/>
          <w:sz w:val="17"/>
        </w:rPr>
        <w:t xml:space="preserve">Zitiervorschlag: § 2 VAFreistV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https://recht.nulegal.eu/gesetze/VAFreistV/2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