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VAFreistV</w:t>
      </w:r>
    </w:p>
    <w:p>
      <w:r>
        <w:rPr>
          <w:color w:val="555555"/>
          <w:sz w:val="18"/>
        </w:rPr>
        <w:t xml:space="preserve">Verordnung zur Freistellung von Versicherungsunternehmen von der Aufsicht nach dem Versicherungsaufsichtsgesetz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Kirchliche Zusatzversorgungskasse Rheinland-Westfalen und die Kirchliche Zusatzversorgungskasse des Verbandes der Diözesen Deutschlands werden von der Aufsicht nach dem Versicherungsaufsichtsgesetz freigestellt.</w:t>
      </w:r>
    </w:p>
    <w:p>
      <w:r>
        <w:rPr>
          <w:color w:val="555555"/>
          <w:sz w:val="17"/>
        </w:rPr>
        <w:t xml:space="preserve">Zitiervorschlag: § 1 VAFreistV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https://recht.nulegal.eu/gesetze/VAFreistV/1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