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VAErstV — Durchführung der Erstattung</w:t>
      </w:r>
    </w:p>
    <w:p>
      <w:r>
        <w:rPr>
          <w:color w:val="555555"/>
          <w:sz w:val="18"/>
        </w:rPr>
        <w:t xml:space="preserve">Versorgungsausgleichs-Erstattungsverordnung</w:t>
      </w:r>
    </w:p>
    <w:p>
      <w:r>
        <w:rPr>
          <w:color w:val="555555"/>
          <w:sz w:val="18"/>
        </w:rPr>
        <w:t xml:space="preserve">Stand: 04.07.2020 (konsolidierte Textfassung, kein amtliches Inkrafttretensdatum)</w:t>
      </w:r>
    </w:p>
    <w:p>
      <w:r>
        <w:t xml:space="preserve">(1) Der Träger der Rentenversicherung soll die zu erstattenden Aufwendungen innerhalb von vier Kalendermonaten nach Ablauf des Kalenderjahres, in dem die Aufwendungen entstanden sind, feststellen und von dem zuständigen Träger der Versorgungslast anfordern (Erstattungsanforderung).</w:t>
      </w:r>
    </w:p>
    <w:p>
      <w:r>
        <w:t xml:space="preserve">(2) Die Erstattungsanforderung ist mit den erforderlichen Angaben über den Verpflichtungsgrund und die Berechnung der zu erstattenden Aufwendungen zu versehen.</w:t>
      </w:r>
    </w:p>
    <w:p>
      <w:r>
        <w:t xml:space="preserve">(3) Der Erstattungsanspruch wird sechs Monate nach Eingang der Erstattungsanforderung beim zuständigen Träger der Versorgungslast fällig.</w:t>
      </w:r>
    </w:p>
    <w:p>
      <w:r>
        <w:t xml:space="preserve">(4) Der Erstattungsanspruch des Trägers der Rentenversicherung verjährt in vier Jahren nach Ablauf des Kalenderjahres, in dem die Aufwendungen angefordert werden sollen. Für die Hemmung, die Unterbrechung und die Wirkung der Verjährung gelten die Vorschriften des Bürgerlichen Gesetzbuches sinngemäß.</w:t>
      </w:r>
    </w:p>
    <w:p>
      <w:r>
        <w:rPr>
          <w:color w:val="555555"/>
          <w:sz w:val="17"/>
        </w:rPr>
        <w:t xml:space="preserve">Zitiervorschlag: § 2 VAErstV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https://recht.nulegal.eu/gesetze/VAErstV/2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