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UrlMV (Bayern) — Anrechnung und Kürzung</w:t>
      </w:r>
    </w:p>
    <w:p>
      <w:r>
        <w:rPr>
          <w:color w:val="555555"/>
          <w:sz w:val="18"/>
        </w:rPr>
        <w:t xml:space="preserve">Bayerische Urlaubs- und Mutterschutzverordnung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Erholungsurlaub, der Beamten bei einer anderen Dienststelle oder während eines anderen Beschäftigungsverhältnisses für einen Zeitraum gewährt worden ist, für den nach dieser Verordnung Erholungsurlaub zusteht, ist anzurechnen.</w:t>
      </w:r>
    </w:p>
    <w:p>
      <w:r>
        <w:t xml:space="preserve">(2) Der Erholungsurlaub wird um ein Zwölftel gekürzt für jeden vollen Kalendermonat</w:t>
      </w:r>
    </w:p>
    <w:p>
      <w:r>
        <w:t xml:space="preserve">1. eines Sonderurlaubs nach § 13 Abs. 1 Satz 1, für welchen die zuständige Dienstbehörde nicht spätestens bei Beendigung des Sonderurlaubs schriftlich anerkannt hat, dass dieser dienstlichen Interessen oder öffentlichen Belangen dient,</w:t>
      </w:r>
    </w:p>
    <w:p>
      <w:r>
        <w:t xml:space="preserve">2. einer Elternzeit ohne Dienst- oder Anwärterbezüge,</w:t>
      </w:r>
    </w:p>
    <w:p>
      <w:r>
        <w:t xml:space="preserve">3. einer Beurlaubung gemäß Art. 90 des Bayerischen Beamtengesetzes (BayBG) in der am 31. Dezember 2024 geltenden Fassung oder gemäß Art. 89 BayBG, oder</w:t>
      </w:r>
    </w:p>
    <w:p>
      <w:r>
        <w:t xml:space="preserve">4. einer vollständigen Freistellung vom Dienst infolge einer ungleichmäßigen Verteilung der Arbeitszeit gemäß Art. 87 Abs. 3 und 4, Art. 88 Abs. 4 oder Art. 91 Abs. 2 Satz 1 Nr. 2 BayBG.</w:t>
      </w:r>
    </w:p>
    <w:p>
      <w:r>
        <w:t xml:space="preserve">Haben Beamte in einem Kalenderjahr vor einer Freistellung im Sinne des Satzes 1 mehr Erholungsurlaub erhalten, als ihnen infolge der Kürzung zusteht, ist der zu viel erhaltene Erholungsurlaub so bald wie möglich mit einem neuen Urlaubsanspruch zu verrechnen.</w:t>
      </w:r>
    </w:p>
    <w:p>
      <w:r>
        <w:rPr>
          <w:color w:val="555555"/>
          <w:sz w:val="17"/>
        </w:rPr>
        <w:t xml:space="preserve">Zitiervorschlag: § 5 UrlMV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https://recht.nulegal.eu/gesetze/UrlMV/5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