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UrlMV (Bayern) — Anspruch und Dauer</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Beamten haben in jedem Kalenderjahr Anspruch auf 30 Arbeitstage Erholungsurlaub unter Fortgewährung der Leistungen des Dienstherrn.</w:t>
      </w:r>
    </w:p>
    <w:p>
      <w:r>
        <w:t xml:space="preserve">(2) Bei Beamten im Vorbereitungsdienst und Dienstanfängern erhöht sich der Erholungsurlaub ab dem zweiten Jahr der Ausbildung um einen Tag, sofern sie Schichtdienst leisten.</w:t>
      </w:r>
    </w:p>
    <w:p>
      <w:r>
        <w:t xml:space="preserve">(3) Beginnt oder endet das Beamtenverhältnis im Lauf des Kalenderjahres, so steht für jeden vollen Kalendermonat ein Zwölftel des Erholungsurlaubs zu. Beamten, die bei Beginn des Beamtenverhältnisses minderjährig sind, steht von sechs vollen Kalendermonaten an der volle Erholungsurlaub zu. Beamte, die mit oder nach Erreichen der gesetzlichen Altersgrenze in den Ruhestand treten, erhalten den halben Erholungsurlaub, wenn das Beamtenverhältnis in der ersten Jahreshälfte endet, ansonsten den vollen Erholungsurlaub. Rechnerische Bruchteile von Urlaubstagen werden kaufmännisch gerundet.</w:t>
      </w:r>
    </w:p>
    <w:p>
      <w:r>
        <w:t xml:space="preserve">(4) Ist die Arbeitszeit auf mehr oder weniger als fünf Wochenarbeitstage verteilt, erhöhen oder vermindern sich die bestehenden Urlaubsansprüche anteilig. Abs. 3 Satz 4 gilt entsprechend. Eine Minderung des bestehenden Urlaubs aus Vorjahren und des anteiligen Urlaubs des laufenden Jahres unterbleibt, soweit er bis zum Zeitpunkt einer Verringerung der Zahl der wöchentlichen Arbeitstage tatsächlich nicht in Anspruch genommen werden konnte und nicht im Sinne des § 8 angespart wurde. Ist eine Minderung nach Satz 3 unterblieben, unterbleibt auch eine etwaige spätere Erhöhung nach Satz 1.</w:t>
      </w:r>
    </w:p>
    <w:p>
      <w:r>
        <w:t xml:space="preserve">(5) Bei Professoren und Lehrern ist der Erholungsurlaub durch die unterrichtsfreie Zeit abgegolten. Soweit infolge dienstlicher Inanspruchnahme oder infolge gemäß § 7 Abs. 4 nachgewiesener Erkrankung während dieser Zeit die unterrichtsfreien Tage hinter den nach den Abs. 1 bis 4 zustehenden Urlaubstagen zurückbleiben, ist Erholungsurlaub außerhalb der unterrichtsfreien Zeit zu gewähren.</w:t>
      </w:r>
    </w:p>
    <w:p>
      <w:r>
        <w:rPr>
          <w:color w:val="555555"/>
          <w:sz w:val="17"/>
        </w:rPr>
        <w:t xml:space="preserve">Zitiervorschlag: § 3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