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26a UrlMV (Bayern) — Übergangsregelung zur Elternzeit</w:t>
      </w:r>
    </w:p>
    <w:p>
      <w:r>
        <w:rPr>
          <w:color w:val="555555"/>
          <w:sz w:val="18"/>
        </w:rPr>
        <w:t xml:space="preserve">Bayerische Urlaubs- und Mutterschutzverordnung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die vor dem 1. September 2021 geborenen Kinder oder für die vor diesem Zeitpunkt mit dem Ziel der Adoption aufgenommenen Kinder ist § 23 Abs. 2 Satz 1 in der am 31. August 2021 geltenden Fassung anzuwenden.</w:t>
      </w:r>
    </w:p>
    <w:p>
      <w:r>
        <w:rPr>
          <w:color w:val="555555"/>
          <w:sz w:val="17"/>
        </w:rPr>
        <w:t xml:space="preserve">Zitiervorschlag: § 26a UrlMV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https://recht.nulegal.eu/gesetze/UrlMV/26a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